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30001" w14:textId="77777777" w:rsidR="00122D90" w:rsidRDefault="004C2B7F">
      <w:pPr>
        <w:rPr>
          <w:b/>
          <w:bCs/>
          <w:sz w:val="32"/>
          <w:szCs w:val="32"/>
        </w:rPr>
      </w:pPr>
      <w:r>
        <w:rPr>
          <w:b/>
          <w:bCs/>
          <w:sz w:val="32"/>
          <w:szCs w:val="32"/>
        </w:rPr>
        <w:t xml:space="preserve">IMIĘ I NAZWISKO                                            </w:t>
      </w:r>
      <w:proofErr w:type="gramStart"/>
      <w:r>
        <w:rPr>
          <w:b/>
          <w:bCs/>
          <w:sz w:val="32"/>
          <w:szCs w:val="32"/>
        </w:rPr>
        <w:t>MIEJSCOWOŚĆ ,</w:t>
      </w:r>
      <w:proofErr w:type="gramEnd"/>
      <w:r>
        <w:rPr>
          <w:b/>
          <w:bCs/>
          <w:sz w:val="32"/>
          <w:szCs w:val="32"/>
        </w:rPr>
        <w:t xml:space="preserve"> DATA </w:t>
      </w:r>
    </w:p>
    <w:p w14:paraId="6303DCFC" w14:textId="77777777" w:rsidR="00122D90" w:rsidRDefault="004C2B7F">
      <w:pPr>
        <w:rPr>
          <w:b/>
          <w:bCs/>
          <w:sz w:val="32"/>
          <w:szCs w:val="32"/>
        </w:rPr>
      </w:pPr>
      <w:r>
        <w:rPr>
          <w:b/>
          <w:bCs/>
          <w:sz w:val="32"/>
          <w:szCs w:val="32"/>
        </w:rPr>
        <w:t>ADRES ZAMIESZKANIA</w:t>
      </w:r>
    </w:p>
    <w:p w14:paraId="26419959" w14:textId="77777777" w:rsidR="00122D90" w:rsidRDefault="004C2B7F">
      <w:pPr>
        <w:rPr>
          <w:b/>
          <w:bCs/>
          <w:sz w:val="32"/>
          <w:szCs w:val="32"/>
        </w:rPr>
      </w:pPr>
      <w:r>
        <w:rPr>
          <w:b/>
          <w:bCs/>
          <w:sz w:val="32"/>
          <w:szCs w:val="32"/>
        </w:rPr>
        <w:t>ADRES DO KORESPONDENCJI</w:t>
      </w:r>
    </w:p>
    <w:p w14:paraId="3DA4B117" w14:textId="77777777" w:rsidR="00122D90" w:rsidRDefault="00122D90">
      <w:pPr>
        <w:rPr>
          <w:b/>
          <w:bCs/>
          <w:sz w:val="32"/>
          <w:szCs w:val="32"/>
        </w:rPr>
      </w:pPr>
    </w:p>
    <w:p w14:paraId="722A9D50" w14:textId="77777777" w:rsidR="00122D90" w:rsidRDefault="004C2B7F">
      <w:pPr>
        <w:ind w:left="3540"/>
        <w:rPr>
          <w:b/>
          <w:bCs/>
          <w:sz w:val="40"/>
          <w:szCs w:val="40"/>
        </w:rPr>
      </w:pPr>
      <w:r>
        <w:rPr>
          <w:b/>
          <w:bCs/>
          <w:sz w:val="40"/>
          <w:szCs w:val="40"/>
        </w:rPr>
        <w:t xml:space="preserve">   PETYCJA</w:t>
      </w:r>
    </w:p>
    <w:p w14:paraId="67E1FDB9" w14:textId="77777777" w:rsidR="00122D90" w:rsidRDefault="00122D90">
      <w:pPr>
        <w:rPr>
          <w:b/>
          <w:bCs/>
          <w:sz w:val="32"/>
          <w:szCs w:val="32"/>
        </w:rPr>
      </w:pPr>
    </w:p>
    <w:p w14:paraId="63CF7F31" w14:textId="77777777" w:rsidR="00122D90" w:rsidRDefault="004C2B7F">
      <w:pPr>
        <w:ind w:left="2124" w:firstLine="708"/>
        <w:rPr>
          <w:b/>
          <w:bCs/>
          <w:sz w:val="32"/>
          <w:szCs w:val="32"/>
        </w:rPr>
      </w:pPr>
      <w:r>
        <w:rPr>
          <w:b/>
          <w:bCs/>
          <w:sz w:val="32"/>
          <w:szCs w:val="32"/>
        </w:rPr>
        <w:t xml:space="preserve">DO MARSZAŁKA SEJMU RP </w:t>
      </w:r>
    </w:p>
    <w:p w14:paraId="2A4F649A" w14:textId="77777777" w:rsidR="00122D90" w:rsidRDefault="00122D90">
      <w:pPr>
        <w:spacing w:after="0" w:line="276" w:lineRule="auto"/>
        <w:ind w:left="2124" w:firstLine="708"/>
        <w:jc w:val="both"/>
        <w:rPr>
          <w:sz w:val="32"/>
          <w:szCs w:val="32"/>
        </w:rPr>
      </w:pPr>
    </w:p>
    <w:p w14:paraId="42D32DB4" w14:textId="4E66440C" w:rsidR="00122D90" w:rsidRPr="00FF6F57" w:rsidRDefault="004C2B7F">
      <w:pPr>
        <w:keepNext/>
        <w:spacing w:after="0" w:line="276" w:lineRule="auto"/>
        <w:jc w:val="both"/>
        <w:rPr>
          <w:rFonts w:ascii="Times New Roman" w:hAnsi="Times New Roman"/>
        </w:rPr>
      </w:pPr>
      <w:r w:rsidRPr="00FF6F57">
        <w:rPr>
          <w:rFonts w:ascii="Times New Roman" w:eastAsia="Times New Roman" w:hAnsi="Times New Roman"/>
          <w:sz w:val="24"/>
          <w:szCs w:val="24"/>
          <w:lang w:eastAsia="ar-SA"/>
        </w:rPr>
        <w:t>Na podstawie art. 63 Konstytucji RP i art. 2 ust. 2 pkt 1 ustawy o Petycjach</w:t>
      </w:r>
      <w:r w:rsidR="00FF6F57">
        <w:rPr>
          <w:rStyle w:val="Odwoanieprzypisudolnego"/>
          <w:rFonts w:ascii="Times New Roman" w:eastAsia="Times New Roman" w:hAnsi="Times New Roman"/>
          <w:sz w:val="24"/>
          <w:szCs w:val="24"/>
          <w:lang w:eastAsia="ar-SA"/>
        </w:rPr>
        <w:footnoteReference w:id="1"/>
      </w:r>
      <w:r w:rsidRPr="00FF6F57">
        <w:rPr>
          <w:rFonts w:ascii="Times New Roman" w:eastAsia="Times New Roman" w:hAnsi="Times New Roman"/>
          <w:sz w:val="24"/>
          <w:szCs w:val="24"/>
          <w:lang w:eastAsia="ar-SA"/>
        </w:rPr>
        <w:t xml:space="preserve">, wnoszę petycję o podjęcie działań w celu wniesienia pod obrady Parlamentu RP </w:t>
      </w:r>
      <w:proofErr w:type="gramStart"/>
      <w:r w:rsidRPr="00FF6F57">
        <w:rPr>
          <w:rFonts w:ascii="Times New Roman" w:eastAsia="Times New Roman" w:hAnsi="Times New Roman"/>
          <w:sz w:val="24"/>
          <w:szCs w:val="24"/>
          <w:lang w:eastAsia="ar-SA"/>
        </w:rPr>
        <w:t>projektu  ustawy</w:t>
      </w:r>
      <w:proofErr w:type="gramEnd"/>
      <w:r w:rsidRPr="00FF6F57">
        <w:rPr>
          <w:rFonts w:ascii="Times New Roman" w:eastAsia="Times New Roman" w:hAnsi="Times New Roman"/>
          <w:sz w:val="24"/>
          <w:szCs w:val="24"/>
          <w:lang w:eastAsia="ar-SA"/>
        </w:rPr>
        <w:t xml:space="preserve"> </w:t>
      </w:r>
      <w:r w:rsidRPr="00FF6F57">
        <w:rPr>
          <w:rFonts w:ascii="Times New Roman" w:eastAsia="Times New Roman" w:hAnsi="Times New Roman"/>
          <w:i/>
          <w:iCs/>
          <w:sz w:val="24"/>
          <w:szCs w:val="24"/>
          <w:lang w:eastAsia="ar-SA"/>
        </w:rPr>
        <w:t xml:space="preserve">o </w:t>
      </w:r>
      <w:proofErr w:type="gramStart"/>
      <w:r w:rsidRPr="00FF6F57">
        <w:rPr>
          <w:rFonts w:ascii="Times New Roman" w:eastAsia="Times New Roman" w:hAnsi="Times New Roman"/>
          <w:i/>
          <w:iCs/>
          <w:sz w:val="24"/>
          <w:szCs w:val="24"/>
          <w:lang w:eastAsia="ar-SA"/>
        </w:rPr>
        <w:t>zmianie  ustawy</w:t>
      </w:r>
      <w:proofErr w:type="gramEnd"/>
      <w:r w:rsidRPr="00FF6F57">
        <w:rPr>
          <w:rFonts w:ascii="Times New Roman" w:eastAsia="Times New Roman" w:hAnsi="Times New Roman"/>
          <w:i/>
          <w:iCs/>
          <w:sz w:val="24"/>
          <w:szCs w:val="24"/>
          <w:lang w:eastAsia="ar-SA"/>
        </w:rPr>
        <w:t xml:space="preserve"> o Krajowej Administracji Skarbowej </w:t>
      </w:r>
      <w:proofErr w:type="gramStart"/>
      <w:r w:rsidRPr="00FF6F57">
        <w:rPr>
          <w:rFonts w:ascii="Times New Roman" w:eastAsia="Times New Roman" w:hAnsi="Times New Roman"/>
          <w:i/>
          <w:iCs/>
          <w:sz w:val="24"/>
          <w:szCs w:val="24"/>
          <w:lang w:eastAsia="ar-SA"/>
        </w:rPr>
        <w:t xml:space="preserve">o </w:t>
      </w:r>
      <w:r w:rsidRPr="00FF6F57">
        <w:rPr>
          <w:rFonts w:ascii="Times New Roman" w:eastAsia="Times New Roman" w:hAnsi="Times New Roman"/>
          <w:b/>
          <w:sz w:val="24"/>
          <w:szCs w:val="20"/>
          <w:lang w:eastAsia="ar-SA"/>
        </w:rPr>
        <w:t xml:space="preserve"> treści</w:t>
      </w:r>
      <w:proofErr w:type="gramEnd"/>
      <w:r w:rsidRPr="00FF6F57">
        <w:rPr>
          <w:rFonts w:ascii="Times New Roman" w:eastAsia="Times New Roman" w:hAnsi="Times New Roman"/>
          <w:b/>
          <w:sz w:val="24"/>
          <w:szCs w:val="20"/>
          <w:lang w:eastAsia="ar-SA"/>
        </w:rPr>
        <w:t>:</w:t>
      </w:r>
    </w:p>
    <w:p w14:paraId="3A8D305A" w14:textId="77777777" w:rsidR="00122D90" w:rsidRPr="00FF6F57" w:rsidRDefault="00122D90">
      <w:pPr>
        <w:keepNext/>
        <w:spacing w:after="0" w:line="276" w:lineRule="auto"/>
        <w:jc w:val="both"/>
        <w:rPr>
          <w:rFonts w:ascii="Times New Roman" w:eastAsia="Times New Roman" w:hAnsi="Times New Roman"/>
          <w:i/>
          <w:iCs/>
          <w:sz w:val="24"/>
          <w:szCs w:val="24"/>
          <w:lang w:eastAsia="ar-SA"/>
        </w:rPr>
      </w:pPr>
    </w:p>
    <w:p w14:paraId="5584BDFE" w14:textId="77777777" w:rsidR="00122D90" w:rsidRPr="00FF6F57" w:rsidRDefault="004C2B7F">
      <w:pPr>
        <w:suppressAutoHyphens w:val="0"/>
        <w:spacing w:after="200" w:line="276" w:lineRule="auto"/>
        <w:jc w:val="center"/>
        <w:textAlignment w:val="auto"/>
        <w:rPr>
          <w:rFonts w:ascii="Times New Roman" w:hAnsi="Times New Roman"/>
          <w:b/>
          <w:sz w:val="24"/>
          <w:szCs w:val="24"/>
        </w:rPr>
      </w:pPr>
      <w:r w:rsidRPr="00FF6F57">
        <w:rPr>
          <w:rFonts w:ascii="Times New Roman" w:hAnsi="Times New Roman"/>
          <w:b/>
          <w:sz w:val="24"/>
          <w:szCs w:val="24"/>
        </w:rPr>
        <w:t>USTAWA</w:t>
      </w:r>
    </w:p>
    <w:p w14:paraId="6079962F" w14:textId="77777777" w:rsidR="00122D90" w:rsidRPr="00FF6F57" w:rsidRDefault="004C2B7F">
      <w:pPr>
        <w:suppressAutoHyphens w:val="0"/>
        <w:spacing w:after="200" w:line="276" w:lineRule="auto"/>
        <w:jc w:val="center"/>
        <w:textAlignment w:val="auto"/>
        <w:rPr>
          <w:rFonts w:ascii="Times New Roman" w:hAnsi="Times New Roman"/>
          <w:sz w:val="24"/>
          <w:szCs w:val="24"/>
        </w:rPr>
      </w:pPr>
      <w:r w:rsidRPr="00FF6F57">
        <w:rPr>
          <w:rFonts w:ascii="Times New Roman" w:hAnsi="Times New Roman"/>
          <w:sz w:val="24"/>
          <w:szCs w:val="24"/>
        </w:rPr>
        <w:t>z dnia                                             2026 r.</w:t>
      </w:r>
    </w:p>
    <w:p w14:paraId="33836BE8" w14:textId="77777777" w:rsidR="00122D90" w:rsidRPr="00FF6F57" w:rsidRDefault="004C2B7F">
      <w:pPr>
        <w:suppressAutoHyphens w:val="0"/>
        <w:spacing w:after="200" w:line="276" w:lineRule="auto"/>
        <w:jc w:val="center"/>
        <w:textAlignment w:val="auto"/>
        <w:rPr>
          <w:rFonts w:ascii="Times New Roman" w:hAnsi="Times New Roman"/>
        </w:rPr>
      </w:pPr>
      <w:r w:rsidRPr="00FF6F57">
        <w:rPr>
          <w:rFonts w:ascii="Times New Roman" w:hAnsi="Times New Roman"/>
          <w:b/>
          <w:sz w:val="24"/>
          <w:szCs w:val="24"/>
        </w:rPr>
        <w:t xml:space="preserve">o zmianie </w:t>
      </w:r>
      <w:proofErr w:type="gramStart"/>
      <w:r w:rsidRPr="00FF6F57">
        <w:rPr>
          <w:rFonts w:ascii="Times New Roman" w:hAnsi="Times New Roman"/>
          <w:b/>
          <w:sz w:val="24"/>
          <w:szCs w:val="24"/>
        </w:rPr>
        <w:t xml:space="preserve">ustawy  </w:t>
      </w:r>
      <w:r w:rsidRPr="00FF6F57">
        <w:rPr>
          <w:rFonts w:ascii="Times New Roman" w:hAnsi="Times New Roman"/>
          <w:b/>
          <w:bCs/>
          <w:sz w:val="24"/>
          <w:szCs w:val="24"/>
        </w:rPr>
        <w:t>o</w:t>
      </w:r>
      <w:proofErr w:type="gramEnd"/>
      <w:r w:rsidRPr="00FF6F57">
        <w:rPr>
          <w:rFonts w:ascii="Times New Roman" w:hAnsi="Times New Roman"/>
          <w:b/>
          <w:bCs/>
          <w:sz w:val="24"/>
          <w:szCs w:val="24"/>
        </w:rPr>
        <w:t xml:space="preserve">  Krajowej Administracji Skarbowej</w:t>
      </w:r>
      <w:r w:rsidRPr="00FF6F57">
        <w:rPr>
          <w:rFonts w:ascii="Times New Roman" w:hAnsi="Times New Roman"/>
          <w:sz w:val="24"/>
          <w:szCs w:val="24"/>
        </w:rPr>
        <w:t xml:space="preserve"> </w:t>
      </w:r>
    </w:p>
    <w:p w14:paraId="53CF6D29" w14:textId="77777777" w:rsidR="00122D90" w:rsidRPr="00FF6F57" w:rsidRDefault="004C2B7F">
      <w:pPr>
        <w:suppressAutoHyphens w:val="0"/>
        <w:spacing w:after="0" w:line="360" w:lineRule="auto"/>
        <w:ind w:firstLine="567"/>
        <w:jc w:val="both"/>
        <w:textAlignment w:val="auto"/>
        <w:rPr>
          <w:rFonts w:ascii="Times New Roman" w:hAnsi="Times New Roman"/>
        </w:rPr>
      </w:pPr>
      <w:r w:rsidRPr="00FF6F57">
        <w:rPr>
          <w:rFonts w:ascii="Times New Roman" w:hAnsi="Times New Roman"/>
          <w:b/>
          <w:sz w:val="24"/>
          <w:szCs w:val="24"/>
        </w:rPr>
        <w:t xml:space="preserve">Art. 1. </w:t>
      </w:r>
      <w:r w:rsidRPr="00FF6F57">
        <w:rPr>
          <w:rFonts w:ascii="Times New Roman" w:hAnsi="Times New Roman"/>
          <w:sz w:val="24"/>
          <w:szCs w:val="24"/>
        </w:rPr>
        <w:t xml:space="preserve">W ustawie z dnia 16 listopada 2016 r.  o Krajowej Administracji Skarbowej </w:t>
      </w:r>
      <w:proofErr w:type="gramStart"/>
      <w:r w:rsidRPr="00FF6F57">
        <w:rPr>
          <w:rFonts w:ascii="Times New Roman" w:hAnsi="Times New Roman"/>
          <w:sz w:val="24"/>
          <w:szCs w:val="24"/>
        </w:rPr>
        <w:t>( Dz.U.</w:t>
      </w:r>
      <w:proofErr w:type="gramEnd"/>
      <w:r w:rsidRPr="00FF6F57">
        <w:rPr>
          <w:rFonts w:ascii="Times New Roman" w:hAnsi="Times New Roman"/>
          <w:sz w:val="24"/>
          <w:szCs w:val="24"/>
        </w:rPr>
        <w:t xml:space="preserve"> z 2025 r. poz. 1131 ze zm.) wprowadza się następujące zmiany:</w:t>
      </w:r>
    </w:p>
    <w:p w14:paraId="579B9B7B" w14:textId="77777777" w:rsidR="00122D90" w:rsidRPr="00FF6F57" w:rsidRDefault="004C2B7F">
      <w:pPr>
        <w:numPr>
          <w:ilvl w:val="0"/>
          <w:numId w:val="1"/>
        </w:numPr>
        <w:suppressAutoHyphens w:val="0"/>
        <w:spacing w:after="0" w:line="360" w:lineRule="auto"/>
        <w:ind w:left="284"/>
        <w:contextualSpacing/>
        <w:jc w:val="both"/>
        <w:textAlignment w:val="auto"/>
        <w:rPr>
          <w:rFonts w:ascii="Times New Roman" w:hAnsi="Times New Roman"/>
        </w:rPr>
      </w:pPr>
      <w:r w:rsidRPr="00FF6F57">
        <w:rPr>
          <w:rFonts w:ascii="Times New Roman" w:hAnsi="Times New Roman"/>
          <w:sz w:val="24"/>
        </w:rPr>
        <w:t>po art. 226b dodaje się art. 226c w brzmieniu:</w:t>
      </w:r>
    </w:p>
    <w:p w14:paraId="07A89282" w14:textId="77777777" w:rsidR="00122D90" w:rsidRPr="00FF6F57" w:rsidRDefault="004C2B7F">
      <w:pPr>
        <w:autoSpaceDE w:val="0"/>
        <w:spacing w:after="0" w:line="360" w:lineRule="auto"/>
        <w:ind w:left="426"/>
        <w:jc w:val="both"/>
        <w:textAlignment w:val="auto"/>
        <w:rPr>
          <w:rFonts w:ascii="Times New Roman" w:eastAsia="Times New Roman" w:hAnsi="Times New Roman"/>
          <w:sz w:val="24"/>
          <w:szCs w:val="24"/>
          <w:shd w:val="clear" w:color="auto" w:fill="FFFFFF"/>
          <w:lang w:eastAsia="pl-PL"/>
        </w:rPr>
      </w:pPr>
      <w:r w:rsidRPr="00FF6F57">
        <w:rPr>
          <w:rFonts w:ascii="Times New Roman" w:eastAsia="Times New Roman" w:hAnsi="Times New Roman"/>
          <w:sz w:val="24"/>
          <w:szCs w:val="24"/>
          <w:shd w:val="clear" w:color="auto" w:fill="FFFFFF"/>
          <w:lang w:eastAsia="pl-PL"/>
        </w:rPr>
        <w:t xml:space="preserve">„Art. 226c. 1. Funkcjonariuszowi Służby Celno – Skarbowej mianowanemu na okres służby przygotowawczej lub na stałe od dnia przyjęcia do służby do dnia zwolnienia ze służby w Służbie Celno – Skarbowej </w:t>
      </w:r>
      <w:proofErr w:type="gramStart"/>
      <w:r w:rsidRPr="00FF6F57">
        <w:rPr>
          <w:rFonts w:ascii="Times New Roman" w:eastAsia="Times New Roman" w:hAnsi="Times New Roman"/>
          <w:sz w:val="24"/>
          <w:szCs w:val="24"/>
          <w:shd w:val="clear" w:color="auto" w:fill="FFFFFF"/>
          <w:lang w:eastAsia="pl-PL"/>
        </w:rPr>
        <w:t>przysługuje  prawo</w:t>
      </w:r>
      <w:proofErr w:type="gramEnd"/>
      <w:r w:rsidRPr="00FF6F57">
        <w:rPr>
          <w:rFonts w:ascii="Times New Roman" w:eastAsia="Times New Roman" w:hAnsi="Times New Roman"/>
          <w:sz w:val="24"/>
          <w:szCs w:val="24"/>
          <w:shd w:val="clear" w:color="auto" w:fill="FFFFFF"/>
          <w:lang w:eastAsia="pl-PL"/>
        </w:rPr>
        <w:t xml:space="preserve"> do zakwaterowania. </w:t>
      </w:r>
    </w:p>
    <w:p w14:paraId="69092A04" w14:textId="77777777" w:rsidR="00122D90" w:rsidRPr="00FF6F57" w:rsidRDefault="004C2B7F">
      <w:pPr>
        <w:suppressAutoHyphens w:val="0"/>
        <w:spacing w:after="0" w:line="360" w:lineRule="auto"/>
        <w:ind w:left="426"/>
        <w:jc w:val="both"/>
        <w:textAlignment w:val="auto"/>
        <w:rPr>
          <w:rFonts w:ascii="Times New Roman" w:hAnsi="Times New Roman"/>
          <w:sz w:val="24"/>
          <w:szCs w:val="24"/>
        </w:rPr>
      </w:pPr>
      <w:r w:rsidRPr="00FF6F57">
        <w:rPr>
          <w:rFonts w:ascii="Times New Roman" w:hAnsi="Times New Roman"/>
          <w:sz w:val="24"/>
          <w:szCs w:val="24"/>
        </w:rPr>
        <w:t>2. Prawo do zakwaterowania jest realizowane w formie świadczenia mieszkaniowego wynoszącego 1800 zł.</w:t>
      </w:r>
    </w:p>
    <w:p w14:paraId="1F9DBC6A" w14:textId="77777777" w:rsidR="00122D90" w:rsidRPr="00FF6F57" w:rsidRDefault="004C2B7F">
      <w:pPr>
        <w:suppressAutoHyphens w:val="0"/>
        <w:spacing w:after="0" w:line="360" w:lineRule="auto"/>
        <w:ind w:left="426"/>
        <w:jc w:val="both"/>
        <w:textAlignment w:val="auto"/>
        <w:rPr>
          <w:rFonts w:ascii="Times New Roman" w:eastAsia="Times New Roman" w:hAnsi="Times New Roman"/>
          <w:sz w:val="24"/>
          <w:szCs w:val="24"/>
          <w:shd w:val="clear" w:color="auto" w:fill="FFFFFF"/>
          <w:lang w:eastAsia="pl-PL"/>
        </w:rPr>
      </w:pPr>
      <w:r w:rsidRPr="00FF6F57">
        <w:rPr>
          <w:rFonts w:ascii="Times New Roman" w:eastAsia="Times New Roman" w:hAnsi="Times New Roman"/>
          <w:sz w:val="24"/>
          <w:szCs w:val="24"/>
          <w:shd w:val="clear" w:color="auto" w:fill="FFFFFF"/>
          <w:lang w:eastAsia="pl-PL"/>
        </w:rPr>
        <w:t>3. Wysokość świadczenia mieszkaniowego podlega corocznej waloryzacji o ustalony w ustawie budżetowej na dany rok średnioroczny wskaźnik wzrostu cen towarów i usług konsumpcyjnych. Podstawę waloryzacji stanowi kwota świadczenia mieszkaniowego   obowiązująca w roku poprzedzającym rok, w którym waloryzacja następuje. Kwotę zwaloryzowanego świadczenia mieszkaniowego zaokrągla się w górę do pełnego złotego.</w:t>
      </w:r>
    </w:p>
    <w:p w14:paraId="0151E3A3" w14:textId="77777777" w:rsidR="00122D90" w:rsidRPr="00FF6F57" w:rsidRDefault="004C2B7F">
      <w:pPr>
        <w:suppressAutoHyphens w:val="0"/>
        <w:spacing w:after="0" w:line="360" w:lineRule="auto"/>
        <w:ind w:left="426"/>
        <w:contextualSpacing/>
        <w:jc w:val="both"/>
        <w:textAlignment w:val="auto"/>
        <w:rPr>
          <w:rFonts w:ascii="Times New Roman" w:hAnsi="Times New Roman"/>
          <w:sz w:val="24"/>
          <w:szCs w:val="24"/>
        </w:rPr>
      </w:pPr>
      <w:r w:rsidRPr="00FF6F57">
        <w:rPr>
          <w:rFonts w:ascii="Times New Roman" w:hAnsi="Times New Roman"/>
          <w:sz w:val="24"/>
          <w:szCs w:val="24"/>
        </w:rPr>
        <w:lastRenderedPageBreak/>
        <w:t>4. Świadczenie mieszkaniowe wypłaca się w terminie do 10 dnia każdego miesiąca kalendarzowego za poprzedni miesiąc.</w:t>
      </w:r>
    </w:p>
    <w:p w14:paraId="3D968F60" w14:textId="77777777" w:rsidR="00122D90" w:rsidRPr="00FF6F57" w:rsidRDefault="004C2B7F">
      <w:pPr>
        <w:suppressAutoHyphens w:val="0"/>
        <w:spacing w:after="0" w:line="360" w:lineRule="auto"/>
        <w:ind w:left="426"/>
        <w:jc w:val="both"/>
        <w:textAlignment w:val="auto"/>
        <w:rPr>
          <w:rFonts w:ascii="Times New Roman" w:hAnsi="Times New Roman"/>
          <w:sz w:val="24"/>
          <w:szCs w:val="24"/>
        </w:rPr>
      </w:pPr>
      <w:r w:rsidRPr="00FF6F57">
        <w:rPr>
          <w:rFonts w:ascii="Times New Roman" w:hAnsi="Times New Roman"/>
          <w:sz w:val="24"/>
          <w:szCs w:val="24"/>
        </w:rPr>
        <w:t xml:space="preserve">5. W przypadku, gdy uprawnienie do świadczenia mieszkaniowego przysługuje funkcjonariuszowi Służby Celno – </w:t>
      </w:r>
      <w:proofErr w:type="gramStart"/>
      <w:r w:rsidRPr="00FF6F57">
        <w:rPr>
          <w:rFonts w:ascii="Times New Roman" w:hAnsi="Times New Roman"/>
          <w:sz w:val="24"/>
          <w:szCs w:val="24"/>
        </w:rPr>
        <w:t>Skarbowej  za</w:t>
      </w:r>
      <w:proofErr w:type="gramEnd"/>
      <w:r w:rsidRPr="00FF6F57">
        <w:rPr>
          <w:rFonts w:ascii="Times New Roman" w:hAnsi="Times New Roman"/>
          <w:sz w:val="24"/>
          <w:szCs w:val="24"/>
        </w:rPr>
        <w:t xml:space="preserve"> okres krótszy niż miesiąc kalendarzowy, jego wysokość wynosi 1/30 wymiaru miesięcznego za każdy dzień.</w:t>
      </w:r>
    </w:p>
    <w:p w14:paraId="54072154" w14:textId="77777777" w:rsidR="00122D90" w:rsidRPr="00FF6F57" w:rsidRDefault="004C2B7F">
      <w:pPr>
        <w:suppressAutoHyphens w:val="0"/>
        <w:spacing w:after="0" w:line="360" w:lineRule="auto"/>
        <w:ind w:left="426"/>
        <w:contextualSpacing/>
        <w:jc w:val="both"/>
        <w:textAlignment w:val="auto"/>
        <w:rPr>
          <w:rFonts w:ascii="Times New Roman" w:hAnsi="Times New Roman"/>
          <w:sz w:val="24"/>
          <w:szCs w:val="24"/>
        </w:rPr>
      </w:pPr>
      <w:r w:rsidRPr="00FF6F57">
        <w:rPr>
          <w:rFonts w:ascii="Times New Roman" w:hAnsi="Times New Roman"/>
          <w:sz w:val="24"/>
          <w:szCs w:val="24"/>
        </w:rPr>
        <w:t xml:space="preserve">6. W </w:t>
      </w:r>
      <w:proofErr w:type="gramStart"/>
      <w:r w:rsidRPr="00FF6F57">
        <w:rPr>
          <w:rFonts w:ascii="Times New Roman" w:hAnsi="Times New Roman"/>
          <w:sz w:val="24"/>
          <w:szCs w:val="24"/>
        </w:rPr>
        <w:t>przypadku</w:t>
      </w:r>
      <w:proofErr w:type="gramEnd"/>
      <w:r w:rsidRPr="00FF6F57">
        <w:rPr>
          <w:rFonts w:ascii="Times New Roman" w:hAnsi="Times New Roman"/>
          <w:sz w:val="24"/>
          <w:szCs w:val="24"/>
        </w:rPr>
        <w:t xml:space="preserve"> gdy oboje małżonkowie są funkcjonariuszami Służby Celno - </w:t>
      </w:r>
      <w:proofErr w:type="gramStart"/>
      <w:r w:rsidRPr="00FF6F57">
        <w:rPr>
          <w:rFonts w:ascii="Times New Roman" w:hAnsi="Times New Roman"/>
          <w:sz w:val="24"/>
          <w:szCs w:val="24"/>
        </w:rPr>
        <w:t>Skarbowej,  każdemu</w:t>
      </w:r>
      <w:proofErr w:type="gramEnd"/>
      <w:r w:rsidRPr="00FF6F57">
        <w:rPr>
          <w:rFonts w:ascii="Times New Roman" w:hAnsi="Times New Roman"/>
          <w:sz w:val="24"/>
          <w:szCs w:val="24"/>
        </w:rPr>
        <w:t xml:space="preserve"> z małżonków przyznaje się świadczenie mieszkaniowe.”</w:t>
      </w:r>
    </w:p>
    <w:p w14:paraId="30967573" w14:textId="77777777" w:rsidR="00122D90" w:rsidRPr="00FF6F57" w:rsidRDefault="00122D90">
      <w:pPr>
        <w:widowControl w:val="0"/>
        <w:suppressAutoHyphens w:val="0"/>
        <w:autoSpaceDE w:val="0"/>
        <w:spacing w:after="0" w:line="360" w:lineRule="auto"/>
        <w:ind w:firstLine="426"/>
        <w:jc w:val="both"/>
        <w:textAlignment w:val="auto"/>
        <w:rPr>
          <w:rFonts w:ascii="Times New Roman" w:hAnsi="Times New Roman"/>
          <w:b/>
          <w:sz w:val="24"/>
          <w:szCs w:val="24"/>
        </w:rPr>
      </w:pPr>
    </w:p>
    <w:p w14:paraId="17247FC4" w14:textId="77777777" w:rsidR="00122D90" w:rsidRPr="00FF6F57" w:rsidRDefault="004C2B7F">
      <w:pPr>
        <w:widowControl w:val="0"/>
        <w:suppressAutoHyphens w:val="0"/>
        <w:autoSpaceDE w:val="0"/>
        <w:spacing w:after="0" w:line="360" w:lineRule="auto"/>
        <w:ind w:firstLine="426"/>
        <w:jc w:val="both"/>
        <w:textAlignment w:val="auto"/>
        <w:rPr>
          <w:rFonts w:ascii="Times New Roman" w:hAnsi="Times New Roman"/>
        </w:rPr>
      </w:pPr>
      <w:r w:rsidRPr="00FF6F57">
        <w:rPr>
          <w:rFonts w:ascii="Times New Roman" w:hAnsi="Times New Roman"/>
          <w:b/>
          <w:sz w:val="24"/>
          <w:szCs w:val="24"/>
        </w:rPr>
        <w:t xml:space="preserve">Art. 2. </w:t>
      </w:r>
      <w:r w:rsidRPr="00FF6F57">
        <w:rPr>
          <w:rFonts w:ascii="Times New Roman" w:hAnsi="Times New Roman"/>
          <w:sz w:val="24"/>
          <w:szCs w:val="24"/>
        </w:rPr>
        <w:t>Ustawa wchodzi w </w:t>
      </w:r>
      <w:r w:rsidRPr="00FF6F57">
        <w:rPr>
          <w:rFonts w:ascii="Times New Roman" w:hAnsi="Times New Roman"/>
          <w:bCs/>
          <w:color w:val="000000"/>
          <w:sz w:val="24"/>
          <w:szCs w:val="24"/>
        </w:rPr>
        <w:t xml:space="preserve">życie </w:t>
      </w:r>
      <w:r w:rsidRPr="00FF6F57">
        <w:rPr>
          <w:rFonts w:ascii="Times New Roman" w:hAnsi="Times New Roman"/>
          <w:bCs/>
          <w:sz w:val="24"/>
          <w:szCs w:val="24"/>
        </w:rPr>
        <w:t>z dniem 1 stycznia 2027 r.</w:t>
      </w:r>
    </w:p>
    <w:p w14:paraId="6E464483" w14:textId="77777777" w:rsidR="00122D90" w:rsidRDefault="004C2B7F">
      <w:pPr>
        <w:widowControl w:val="0"/>
        <w:spacing w:after="0" w:line="360" w:lineRule="auto"/>
        <w:rPr>
          <w:rFonts w:eastAsia="Times New Roman" w:cs="Calibri"/>
          <w:b/>
          <w:bCs/>
          <w:sz w:val="24"/>
          <w:szCs w:val="20"/>
          <w:lang w:eastAsia="ar-SA"/>
        </w:rPr>
      </w:pPr>
      <w:r>
        <w:rPr>
          <w:rFonts w:eastAsia="Times New Roman" w:cs="Calibri"/>
          <w:b/>
          <w:bCs/>
          <w:sz w:val="24"/>
          <w:szCs w:val="20"/>
          <w:lang w:eastAsia="ar-SA"/>
        </w:rPr>
        <w:t xml:space="preserve">                                                              </w:t>
      </w:r>
    </w:p>
    <w:p w14:paraId="18BF4C47" w14:textId="77777777" w:rsidR="00122D90" w:rsidRDefault="004C2B7F">
      <w:pPr>
        <w:suppressAutoHyphens w:val="0"/>
        <w:spacing w:after="0" w:line="276" w:lineRule="auto"/>
        <w:jc w:val="center"/>
        <w:textAlignment w:val="auto"/>
        <w:rPr>
          <w:rFonts w:ascii="Times New Roman" w:hAnsi="Times New Roman"/>
          <w:b/>
          <w:bCs/>
          <w:iCs/>
          <w:sz w:val="24"/>
          <w:szCs w:val="24"/>
        </w:rPr>
      </w:pPr>
      <w:r>
        <w:rPr>
          <w:rFonts w:ascii="Times New Roman" w:hAnsi="Times New Roman"/>
          <w:b/>
          <w:bCs/>
          <w:iCs/>
          <w:sz w:val="24"/>
          <w:szCs w:val="24"/>
        </w:rPr>
        <w:t xml:space="preserve">UZASADNIENIE </w:t>
      </w:r>
    </w:p>
    <w:p w14:paraId="7DDE0ED7" w14:textId="77777777" w:rsidR="00122D90" w:rsidRDefault="004C2B7F">
      <w:pPr>
        <w:suppressAutoHyphens w:val="0"/>
        <w:spacing w:after="0" w:line="276" w:lineRule="auto"/>
        <w:jc w:val="center"/>
        <w:textAlignment w:val="auto"/>
        <w:rPr>
          <w:rFonts w:ascii="Times New Roman" w:hAnsi="Times New Roman"/>
          <w:b/>
          <w:bCs/>
          <w:iCs/>
          <w:sz w:val="24"/>
          <w:szCs w:val="24"/>
        </w:rPr>
      </w:pPr>
      <w:r>
        <w:rPr>
          <w:rFonts w:ascii="Times New Roman" w:hAnsi="Times New Roman"/>
          <w:b/>
          <w:bCs/>
          <w:iCs/>
          <w:sz w:val="24"/>
          <w:szCs w:val="24"/>
        </w:rPr>
        <w:t>do Petycji</w:t>
      </w:r>
    </w:p>
    <w:p w14:paraId="4AEC4025" w14:textId="77777777" w:rsidR="00122D90" w:rsidRDefault="004C2B7F">
      <w:pPr>
        <w:suppressAutoHyphens w:val="0"/>
        <w:spacing w:after="0" w:line="276" w:lineRule="auto"/>
        <w:jc w:val="center"/>
        <w:textAlignment w:val="auto"/>
        <w:rPr>
          <w:rFonts w:ascii="Times New Roman" w:hAnsi="Times New Roman"/>
          <w:b/>
          <w:bCs/>
          <w:iCs/>
          <w:sz w:val="24"/>
          <w:szCs w:val="24"/>
        </w:rPr>
      </w:pPr>
      <w:r>
        <w:rPr>
          <w:rFonts w:ascii="Times New Roman" w:hAnsi="Times New Roman"/>
          <w:b/>
          <w:bCs/>
          <w:iCs/>
          <w:sz w:val="24"/>
          <w:szCs w:val="24"/>
        </w:rPr>
        <w:t xml:space="preserve">dotyczącej wprowadzenia </w:t>
      </w:r>
      <w:proofErr w:type="gramStart"/>
      <w:r>
        <w:rPr>
          <w:rFonts w:ascii="Times New Roman" w:hAnsi="Times New Roman"/>
          <w:b/>
          <w:bCs/>
          <w:iCs/>
          <w:sz w:val="24"/>
          <w:szCs w:val="24"/>
        </w:rPr>
        <w:t>świadczenia  mieszkaniowego</w:t>
      </w:r>
      <w:proofErr w:type="gramEnd"/>
      <w:r>
        <w:rPr>
          <w:rFonts w:ascii="Times New Roman" w:hAnsi="Times New Roman"/>
          <w:b/>
          <w:bCs/>
          <w:iCs/>
          <w:sz w:val="24"/>
          <w:szCs w:val="24"/>
        </w:rPr>
        <w:t xml:space="preserve"> </w:t>
      </w:r>
    </w:p>
    <w:p w14:paraId="6465B6F6" w14:textId="77777777" w:rsidR="00122D90" w:rsidRDefault="004C2B7F">
      <w:pPr>
        <w:suppressAutoHyphens w:val="0"/>
        <w:spacing w:after="0" w:line="276" w:lineRule="auto"/>
        <w:jc w:val="center"/>
        <w:textAlignment w:val="auto"/>
        <w:rPr>
          <w:rFonts w:ascii="Times New Roman" w:hAnsi="Times New Roman"/>
          <w:b/>
          <w:bCs/>
          <w:iCs/>
          <w:sz w:val="24"/>
          <w:szCs w:val="24"/>
        </w:rPr>
      </w:pPr>
      <w:r>
        <w:rPr>
          <w:rFonts w:ascii="Times New Roman" w:hAnsi="Times New Roman"/>
          <w:b/>
          <w:bCs/>
          <w:iCs/>
          <w:sz w:val="24"/>
          <w:szCs w:val="24"/>
        </w:rPr>
        <w:t>dla funkcjonariuszy Służby Celno-Skarbowej.</w:t>
      </w:r>
    </w:p>
    <w:p w14:paraId="2D28EE4F" w14:textId="77777777" w:rsidR="00122D90" w:rsidRDefault="00122D90">
      <w:pPr>
        <w:suppressAutoHyphens w:val="0"/>
        <w:spacing w:after="0" w:line="276" w:lineRule="auto"/>
        <w:jc w:val="center"/>
        <w:textAlignment w:val="auto"/>
        <w:rPr>
          <w:rFonts w:ascii="Times New Roman" w:hAnsi="Times New Roman"/>
          <w:b/>
          <w:bCs/>
          <w:iCs/>
          <w:sz w:val="24"/>
          <w:szCs w:val="24"/>
        </w:rPr>
      </w:pPr>
    </w:p>
    <w:p w14:paraId="164B189B" w14:textId="77777777" w:rsidR="00122D90" w:rsidRDefault="00122D90">
      <w:pPr>
        <w:suppressAutoHyphens w:val="0"/>
        <w:spacing w:after="0" w:line="276" w:lineRule="auto"/>
        <w:jc w:val="both"/>
        <w:textAlignment w:val="auto"/>
        <w:rPr>
          <w:rFonts w:ascii="Times New Roman" w:hAnsi="Times New Roman"/>
          <w:iCs/>
          <w:sz w:val="24"/>
          <w:szCs w:val="24"/>
        </w:rPr>
      </w:pPr>
    </w:p>
    <w:p w14:paraId="59FBA5DC"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Historia Służby Celnej XXI wieku (od 1 marca 2017 r.  Służby Celno – Skarbowej), to historia koniecznych reform, które jednak zostały wprowadzane w </w:t>
      </w:r>
      <w:proofErr w:type="gramStart"/>
      <w:r>
        <w:rPr>
          <w:rFonts w:ascii="Times New Roman" w:hAnsi="Times New Roman"/>
          <w:iCs/>
          <w:sz w:val="24"/>
          <w:szCs w:val="24"/>
        </w:rPr>
        <w:t>sposób  nieprzemyślany</w:t>
      </w:r>
      <w:proofErr w:type="gramEnd"/>
      <w:r>
        <w:rPr>
          <w:rFonts w:ascii="Times New Roman" w:hAnsi="Times New Roman"/>
          <w:iCs/>
          <w:sz w:val="24"/>
          <w:szCs w:val="24"/>
        </w:rPr>
        <w:t xml:space="preserve">, nie były przygotowane i nigdy nie </w:t>
      </w:r>
      <w:proofErr w:type="gramStart"/>
      <w:r>
        <w:rPr>
          <w:rFonts w:ascii="Times New Roman" w:hAnsi="Times New Roman"/>
          <w:iCs/>
          <w:sz w:val="24"/>
          <w:szCs w:val="24"/>
        </w:rPr>
        <w:t>miały  na</w:t>
      </w:r>
      <w:proofErr w:type="gramEnd"/>
      <w:r>
        <w:rPr>
          <w:rFonts w:ascii="Times New Roman" w:hAnsi="Times New Roman"/>
          <w:iCs/>
          <w:sz w:val="24"/>
          <w:szCs w:val="24"/>
        </w:rPr>
        <w:t xml:space="preserve"> uwadze głównego jej potencjału, czyli zasobów ludzkich, a skutki ww. reform były dla funkcjonariuszy tragiczne.</w:t>
      </w:r>
    </w:p>
    <w:p w14:paraId="2616C190"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520C8695"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Alokacja funkcjonariuszy Służby Celnej w 2004 r. </w:t>
      </w:r>
    </w:p>
    <w:p w14:paraId="4593D0BB" w14:textId="3800C32E" w:rsidR="00122D90" w:rsidRDefault="004C2B7F">
      <w:pPr>
        <w:suppressAutoHyphens w:val="0"/>
        <w:spacing w:after="0" w:line="276" w:lineRule="auto"/>
        <w:ind w:right="-284"/>
        <w:jc w:val="both"/>
        <w:textAlignment w:val="auto"/>
      </w:pPr>
      <w:r>
        <w:rPr>
          <w:rFonts w:ascii="Times New Roman" w:hAnsi="Times New Roman"/>
          <w:sz w:val="24"/>
          <w:szCs w:val="24"/>
        </w:rPr>
        <w:t xml:space="preserve">NIK w dokumencie </w:t>
      </w:r>
      <w:r>
        <w:rPr>
          <w:rFonts w:ascii="Times New Roman" w:hAnsi="Times New Roman"/>
          <w:i/>
          <w:iCs/>
          <w:sz w:val="24"/>
          <w:szCs w:val="24"/>
        </w:rPr>
        <w:t>„Przygotowanie Służb Celnych do wykonywania na północno-wschodnim i wschodnim odcinku granicy państwowej zadań związanych z akcesją Polski do Unii Europejskiej w latach 2002 – 2005 (I kw.)”</w:t>
      </w:r>
      <w:r>
        <w:rPr>
          <w:rFonts w:ascii="Times New Roman" w:hAnsi="Times New Roman"/>
          <w:i/>
          <w:iCs/>
          <w:sz w:val="24"/>
          <w:szCs w:val="24"/>
          <w:vertAlign w:val="superscript"/>
        </w:rPr>
        <w:footnoteReference w:id="2"/>
      </w:r>
      <w:r>
        <w:rPr>
          <w:rFonts w:ascii="Times New Roman" w:hAnsi="Times New Roman"/>
          <w:sz w:val="24"/>
          <w:szCs w:val="24"/>
        </w:rPr>
        <w:t xml:space="preserve"> - wynik kontroli w pkt 3.3.2.1. negatywnie ocenił pod względem rzetelności  przeprowadz</w:t>
      </w:r>
      <w:r w:rsidR="00FF6F57">
        <w:rPr>
          <w:rFonts w:ascii="Times New Roman" w:hAnsi="Times New Roman"/>
          <w:sz w:val="24"/>
          <w:szCs w:val="24"/>
        </w:rPr>
        <w:t>o</w:t>
      </w:r>
      <w:r>
        <w:rPr>
          <w:rFonts w:ascii="Times New Roman" w:hAnsi="Times New Roman"/>
          <w:sz w:val="24"/>
          <w:szCs w:val="24"/>
        </w:rPr>
        <w:t xml:space="preserve">ny przez Ministra Finansów proces zagospodarowania kadr Służby Celnej, polegający  na przenoszeniu funkcjonariuszy celnych z jednostek na granicy zachodniej i południowej do jednostek administracji celnej funkcjonujących  na zewnętrznej  granicy Unii Europejskiej. </w:t>
      </w:r>
    </w:p>
    <w:p w14:paraId="52BB5E2A" w14:textId="4EA98AA3"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Wskaza</w:t>
      </w:r>
      <w:r w:rsidR="00FF6F57">
        <w:rPr>
          <w:rFonts w:ascii="Times New Roman" w:hAnsi="Times New Roman"/>
          <w:sz w:val="24"/>
          <w:szCs w:val="24"/>
        </w:rPr>
        <w:t>no</w:t>
      </w:r>
      <w:r>
        <w:rPr>
          <w:rFonts w:ascii="Times New Roman" w:hAnsi="Times New Roman"/>
          <w:sz w:val="24"/>
          <w:szCs w:val="24"/>
        </w:rPr>
        <w:t xml:space="preserve"> w ww. dokumencie:</w:t>
      </w:r>
    </w:p>
    <w:p w14:paraId="79184EFD"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i/>
          <w:iCs/>
          <w:sz w:val="20"/>
          <w:szCs w:val="20"/>
        </w:rPr>
        <w:t xml:space="preserve">Polska administracja celna nie była przygotowana do realizacji alokacji kadr, a sam proces przebiegał w sposób nie do końca przemyślany i konsekwentny. W Ministerstwie Finansów powoływano w tym zakresie kolejne zespoły robocze, które tworzyły </w:t>
      </w:r>
      <w:proofErr w:type="gramStart"/>
      <w:r>
        <w:rPr>
          <w:rFonts w:ascii="Times New Roman" w:hAnsi="Times New Roman"/>
          <w:i/>
          <w:iCs/>
          <w:sz w:val="20"/>
          <w:szCs w:val="20"/>
        </w:rPr>
        <w:t>różne  i</w:t>
      </w:r>
      <w:proofErr w:type="gramEnd"/>
      <w:r>
        <w:rPr>
          <w:rFonts w:ascii="Times New Roman" w:hAnsi="Times New Roman"/>
          <w:i/>
          <w:iCs/>
          <w:sz w:val="20"/>
          <w:szCs w:val="20"/>
        </w:rPr>
        <w:t xml:space="preserve"> niespójne koncepcje zagospodarowania kadr bez </w:t>
      </w:r>
      <w:proofErr w:type="gramStart"/>
      <w:r>
        <w:rPr>
          <w:rFonts w:ascii="Times New Roman" w:hAnsi="Times New Roman"/>
          <w:i/>
          <w:iCs/>
          <w:sz w:val="20"/>
          <w:szCs w:val="20"/>
        </w:rPr>
        <w:t>możliwości  ich</w:t>
      </w:r>
      <w:proofErr w:type="gramEnd"/>
      <w:r>
        <w:rPr>
          <w:rFonts w:ascii="Times New Roman" w:hAnsi="Times New Roman"/>
          <w:i/>
          <w:iCs/>
          <w:sz w:val="20"/>
          <w:szCs w:val="20"/>
        </w:rPr>
        <w:t xml:space="preserve"> praktycznej realizacji. </w:t>
      </w:r>
      <w:r>
        <w:rPr>
          <w:rFonts w:ascii="Times New Roman" w:hAnsi="Times New Roman"/>
          <w:b/>
          <w:bCs/>
          <w:i/>
          <w:iCs/>
          <w:sz w:val="20"/>
          <w:szCs w:val="20"/>
        </w:rPr>
        <w:t>Minister Finansów nie zabezpieczył środków na realizację zagospodarowania kadr Służby Celnej.</w:t>
      </w:r>
      <w:r>
        <w:rPr>
          <w:rFonts w:ascii="Times New Roman" w:hAnsi="Times New Roman"/>
          <w:i/>
          <w:iCs/>
          <w:sz w:val="20"/>
          <w:szCs w:val="20"/>
        </w:rPr>
        <w:t xml:space="preserve"> </w:t>
      </w:r>
      <w:r>
        <w:rPr>
          <w:rFonts w:ascii="Times New Roman" w:hAnsi="Times New Roman"/>
          <w:b/>
          <w:bCs/>
          <w:i/>
          <w:iCs/>
          <w:sz w:val="20"/>
          <w:szCs w:val="20"/>
        </w:rPr>
        <w:t xml:space="preserve">Nie zagwarantowano przy tym należytych świadczeń związanych z realizacją tego procesu, </w:t>
      </w:r>
      <w:r>
        <w:rPr>
          <w:rFonts w:ascii="Times New Roman" w:hAnsi="Times New Roman"/>
          <w:i/>
          <w:iCs/>
          <w:sz w:val="20"/>
          <w:szCs w:val="20"/>
        </w:rPr>
        <w:t>a wśród przeniesionych na północno-wschodni i wschodni granic UE funkcjonariuszy wystąpiło zjawisko masowej absencji chorobowej.</w:t>
      </w:r>
    </w:p>
    <w:p w14:paraId="349B4908"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444D7AF8"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lastRenderedPageBreak/>
        <w:t>Błędy, o którym mowa w ww. dokumencie miały swoje tragiczne konsekwencje.</w:t>
      </w:r>
    </w:p>
    <w:p w14:paraId="6B73455F"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Tragizm </w:t>
      </w:r>
      <w:proofErr w:type="gramStart"/>
      <w:r>
        <w:rPr>
          <w:rFonts w:ascii="Times New Roman" w:hAnsi="Times New Roman"/>
          <w:sz w:val="24"/>
          <w:szCs w:val="24"/>
        </w:rPr>
        <w:t>procesu  polegał</w:t>
      </w:r>
      <w:proofErr w:type="gramEnd"/>
      <w:r>
        <w:rPr>
          <w:rFonts w:ascii="Times New Roman" w:hAnsi="Times New Roman"/>
          <w:sz w:val="24"/>
          <w:szCs w:val="24"/>
        </w:rPr>
        <w:t xml:space="preserve"> na tym, że decyzje urzędnicze podjęte w pośpiechu przed wejściem Polski do Unii Europejskiej, bez przygotowania i bez koniecznych środków </w:t>
      </w:r>
      <w:proofErr w:type="gramStart"/>
      <w:r>
        <w:rPr>
          <w:rFonts w:ascii="Times New Roman" w:hAnsi="Times New Roman"/>
          <w:sz w:val="24"/>
          <w:szCs w:val="24"/>
        </w:rPr>
        <w:t>finansowych  doprowadziły</w:t>
      </w:r>
      <w:proofErr w:type="gramEnd"/>
      <w:r>
        <w:rPr>
          <w:rFonts w:ascii="Times New Roman" w:hAnsi="Times New Roman"/>
          <w:sz w:val="24"/>
          <w:szCs w:val="24"/>
        </w:rPr>
        <w:t xml:space="preserve"> do głębokich kryzysów życiowych i osobistych dramatów tysięcy rodzin. Środowisko celników wprost określało ówczesną alokację mianem „barbarzyńskiej”.</w:t>
      </w:r>
    </w:p>
    <w:p w14:paraId="40394014"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Do najtrudniejszych i najbardziej dramatycznych aspektów tamtych wydarzeń należały:</w:t>
      </w:r>
    </w:p>
    <w:p w14:paraId="6F5C0EC3"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1/ próby i zamachy samobójcze.</w:t>
      </w:r>
    </w:p>
    <w:p w14:paraId="39AF4454"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Presja psychiczna, nagłe widmo utraty pracy lub przymusowej wyprowadzki na drugi koniec Polski doprowadziły do załamań nerwowych. W debatach publicznych i związkowych wielokrotnie podnoszono kwestię narastającej frustracji oraz faktu, że część funkcjonariuszy nie wytrzymała obciążenia psychicznego, co doprowadziło do tragicznych, skutecznych zamachów samobójczych oraz prób odebrania sobie życia;</w:t>
      </w:r>
    </w:p>
    <w:p w14:paraId="13DD1D2A"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2/ rozbicie struktur rodzinnych.</w:t>
      </w:r>
    </w:p>
    <w:p w14:paraId="24B49526" w14:textId="23DA571A"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Celnicy z dnia na dzień otrzymywali nakazy przeniesienia – np. z zachodniej granicy lub centralnej Polski na granicę</w:t>
      </w:r>
      <w:r w:rsidR="00FF6F57">
        <w:rPr>
          <w:rFonts w:ascii="Times New Roman" w:hAnsi="Times New Roman"/>
          <w:sz w:val="24"/>
          <w:szCs w:val="24"/>
        </w:rPr>
        <w:t xml:space="preserve"> wschodnią</w:t>
      </w:r>
      <w:r>
        <w:rPr>
          <w:rFonts w:ascii="Times New Roman" w:hAnsi="Times New Roman"/>
          <w:sz w:val="24"/>
          <w:szCs w:val="24"/>
        </w:rPr>
        <w:t>. Tysiące małżeństw zostało zmuszonych do życia w rozłące. Rodzice zostali odseparowani od dzieci, co w wielu przypadkach poskutkowało trwałym rozpadem rodzin i rozwodami;</w:t>
      </w:r>
    </w:p>
    <w:p w14:paraId="3ECA91D2"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3/ kryzys bezdomności i brak warunków bytowych. </w:t>
      </w:r>
    </w:p>
    <w:p w14:paraId="7C48F5E9"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Państwo rzuciło na wschodnią granicę setki ludzi, nie zapewniając im odpowiedniej infrastruktury. Przenoszeni funkcjonariusze spali w fatalnych warunkach – w przepełnionych stancjach, hotelach robotniczych, a w skrajnych przypadkach w samochodach lub w nieprzystosowanych pomieszczeniach służbowych; </w:t>
      </w:r>
    </w:p>
    <w:p w14:paraId="160ED692"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4/ przymusowe odejścia i utrata dorobku życia.</w:t>
      </w:r>
    </w:p>
    <w:p w14:paraId="524A5A4E"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Osoby, które ze względów rodzinnych lub zdrowotnych nie mogły podjąć alokacji, były zmuszane do odejścia ze służby bez żadnego zabezpieczenia finansowego. Dla wielu wieloletnich, doświadczonych funkcjonariuszy oznaczało to nagłą utratę stabilizacji i degradację społeczną.</w:t>
      </w:r>
    </w:p>
    <w:p w14:paraId="0977562E"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5/ masowy uszczerbek na zdrowiu.</w:t>
      </w:r>
    </w:p>
    <w:p w14:paraId="4231CF25"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Ogromny stres bezpośrednio przełożył się na zdrowie celników. Środowisko dotknęła fala zawałów serca, udarów oraz zaostrzeń chorób przewlekłych wywołanych przewlekłym napięciem, co NIK pośrednio odnotował poprzez analizę gwałtownego skoku absencji chorobowych.</w:t>
      </w:r>
    </w:p>
    <w:p w14:paraId="0BE48D45"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2D4D5E69" w14:textId="77777777" w:rsidR="00FF6F57"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Gdyby wówczas funkcjonariusze Służby Celnej mieli zagwarantowane w swojej pragmatyce środki finansowe na wynajem mieszkań w miejscu docelowym w związku z przeniesieniem lub na pożyczki w celu zakupu mieszkań, jakie mają </w:t>
      </w:r>
      <w:proofErr w:type="gramStart"/>
      <w:r>
        <w:rPr>
          <w:rFonts w:ascii="Times New Roman" w:hAnsi="Times New Roman"/>
          <w:sz w:val="24"/>
          <w:szCs w:val="24"/>
        </w:rPr>
        <w:t>zagwarantowane  funkcjonariusze</w:t>
      </w:r>
      <w:proofErr w:type="gramEnd"/>
      <w:r>
        <w:rPr>
          <w:rFonts w:ascii="Times New Roman" w:hAnsi="Times New Roman"/>
          <w:sz w:val="24"/>
          <w:szCs w:val="24"/>
        </w:rPr>
        <w:t xml:space="preserve"> pozostałych służb </w:t>
      </w:r>
      <w:proofErr w:type="gramStart"/>
      <w:r>
        <w:rPr>
          <w:rFonts w:ascii="Times New Roman" w:hAnsi="Times New Roman"/>
          <w:sz w:val="24"/>
          <w:szCs w:val="24"/>
        </w:rPr>
        <w:t>mundurowych  –</w:t>
      </w:r>
      <w:proofErr w:type="gramEnd"/>
      <w:r>
        <w:rPr>
          <w:rFonts w:ascii="Times New Roman" w:hAnsi="Times New Roman"/>
          <w:sz w:val="24"/>
          <w:szCs w:val="24"/>
        </w:rPr>
        <w:t xml:space="preserve"> to alokacja zostałaby przeprowadzona w sposób cywilizowany.</w:t>
      </w:r>
    </w:p>
    <w:p w14:paraId="5A0C46D6" w14:textId="0C2BA7D5" w:rsidR="00122D90" w:rsidRDefault="004C2B7F">
      <w:pPr>
        <w:suppressAutoHyphens w:val="0"/>
        <w:spacing w:after="0" w:line="276" w:lineRule="auto"/>
        <w:ind w:right="-284"/>
        <w:jc w:val="both"/>
        <w:textAlignment w:val="auto"/>
      </w:pPr>
      <w:r>
        <w:rPr>
          <w:rFonts w:ascii="Times New Roman" w:hAnsi="Times New Roman"/>
          <w:b/>
          <w:bCs/>
          <w:sz w:val="24"/>
          <w:szCs w:val="24"/>
        </w:rPr>
        <w:t xml:space="preserve">A tak stała </w:t>
      </w:r>
      <w:proofErr w:type="gramStart"/>
      <w:r>
        <w:rPr>
          <w:rFonts w:ascii="Times New Roman" w:hAnsi="Times New Roman"/>
          <w:b/>
          <w:bCs/>
          <w:sz w:val="24"/>
          <w:szCs w:val="24"/>
        </w:rPr>
        <w:t>się  czarną</w:t>
      </w:r>
      <w:proofErr w:type="gramEnd"/>
      <w:r>
        <w:rPr>
          <w:rFonts w:ascii="Times New Roman" w:hAnsi="Times New Roman"/>
          <w:b/>
          <w:bCs/>
          <w:sz w:val="24"/>
          <w:szCs w:val="24"/>
        </w:rPr>
        <w:t xml:space="preserve"> kartą historii Służby Celnej.</w:t>
      </w:r>
    </w:p>
    <w:p w14:paraId="2406777B"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27226734" w14:textId="60F0ECF5" w:rsidR="00122D90" w:rsidRDefault="004C2B7F">
      <w:pPr>
        <w:suppressAutoHyphens w:val="0"/>
        <w:spacing w:after="0" w:line="276" w:lineRule="auto"/>
        <w:ind w:right="-284"/>
        <w:jc w:val="both"/>
        <w:textAlignment w:val="auto"/>
      </w:pPr>
      <w:r>
        <w:rPr>
          <w:rFonts w:ascii="Times New Roman" w:hAnsi="Times New Roman"/>
          <w:sz w:val="24"/>
          <w:szCs w:val="24"/>
        </w:rPr>
        <w:t>Kolejna reforma Służby Celnej przeprowadzona w 2017 r. – to następna nieprzygotowana, pospieszna i nieprzemyślana reforma (tzw. „robienie reformy na wariata”) – również tragiczna w skutkach i negatywnie oceniona przez NIK</w:t>
      </w:r>
      <w:r>
        <w:rPr>
          <w:rFonts w:ascii="Times New Roman" w:hAnsi="Times New Roman"/>
          <w:sz w:val="24"/>
          <w:szCs w:val="24"/>
          <w:vertAlign w:val="superscript"/>
        </w:rPr>
        <w:footnoteReference w:id="3"/>
      </w:r>
      <w:r>
        <w:rPr>
          <w:rFonts w:ascii="Times New Roman" w:hAnsi="Times New Roman"/>
          <w:sz w:val="24"/>
          <w:szCs w:val="24"/>
        </w:rPr>
        <w:t>. Wokół raportów pokontrolnych narosły też kon</w:t>
      </w:r>
      <w:r>
        <w:rPr>
          <w:rFonts w:ascii="Times New Roman" w:hAnsi="Times New Roman"/>
          <w:sz w:val="24"/>
          <w:szCs w:val="24"/>
        </w:rPr>
        <w:lastRenderedPageBreak/>
        <w:t xml:space="preserve">trowersje polityczne – w 2019 roku media ujawniły, że publikacja kluczowego, niezwykle krytycznego dla reformy raportu NIK była czasowo wstrzymywana, m.in. z powodów personalnych (ówczesnym szefem NIK został Marian Banaś, czyli główny architekt reformy KAS z 2017 roku). Reforma KAS z 2017 r. doprowadziła do chaosu kadrowego i masowych zwolnień. W efekcie tysiące doświadczonych celników zostało nagle zwolnionych (tzw. </w:t>
      </w:r>
      <w:proofErr w:type="spellStart"/>
      <w:r>
        <w:rPr>
          <w:rFonts w:ascii="Times New Roman" w:hAnsi="Times New Roman"/>
          <w:sz w:val="24"/>
          <w:szCs w:val="24"/>
        </w:rPr>
        <w:t>ucywilnienie</w:t>
      </w:r>
      <w:proofErr w:type="spellEnd"/>
      <w:r>
        <w:rPr>
          <w:rFonts w:ascii="Times New Roman" w:hAnsi="Times New Roman"/>
          <w:sz w:val="24"/>
          <w:szCs w:val="24"/>
        </w:rPr>
        <w:t xml:space="preserve"> lub całkowite usunięcie z pracy), bez wskazania jasnych i transparentnych kryteriów, na podstawie których decydowano, kto otrzyma propozycję zatrudnienia w nowej strukturze, a kto zostanie zwolniony. To spowodowało lawinę pozwów sądowych i </w:t>
      </w:r>
      <w:r w:rsidR="00FF6F57">
        <w:rPr>
          <w:rFonts w:ascii="Times New Roman" w:hAnsi="Times New Roman"/>
          <w:sz w:val="24"/>
          <w:szCs w:val="24"/>
        </w:rPr>
        <w:t xml:space="preserve">w konsekwencji </w:t>
      </w:r>
      <w:r>
        <w:rPr>
          <w:rFonts w:ascii="Times New Roman" w:hAnsi="Times New Roman"/>
          <w:sz w:val="24"/>
          <w:szCs w:val="24"/>
        </w:rPr>
        <w:t>ponoszenie przez Skarb Państwa ogromnych kosztów odszkodowawczych, bowiem sądy pracy i sądy administracyjne przez lata wydawały i nadal wydają wyroki na korzyść zwolnionych, uznając działania państwa za arbitralne i niezgodne z procedurami. Nastąpił drenaż wykwalifikowanych kadr, z czym KAS nie może poradzić sobie do dzisiaj</w:t>
      </w:r>
    </w:p>
    <w:p w14:paraId="6DDDEE3C" w14:textId="54C2F52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Obecnie nieprzyznanie świadczenia mieszkaniowego jedynej formacji mundurowej w Polsce</w:t>
      </w:r>
      <w:r w:rsidR="00FF6F57">
        <w:rPr>
          <w:rFonts w:ascii="Times New Roman" w:hAnsi="Times New Roman"/>
          <w:iCs/>
          <w:sz w:val="24"/>
          <w:szCs w:val="24"/>
        </w:rPr>
        <w:t xml:space="preserve"> </w:t>
      </w:r>
      <w:proofErr w:type="gramStart"/>
      <w:r w:rsidR="00FF6F57">
        <w:rPr>
          <w:rFonts w:ascii="Times New Roman" w:hAnsi="Times New Roman"/>
          <w:iCs/>
          <w:sz w:val="24"/>
          <w:szCs w:val="24"/>
        </w:rPr>
        <w:t xml:space="preserve">- </w:t>
      </w:r>
      <w:r>
        <w:rPr>
          <w:rFonts w:ascii="Times New Roman" w:hAnsi="Times New Roman"/>
          <w:iCs/>
          <w:sz w:val="24"/>
          <w:szCs w:val="24"/>
        </w:rPr>
        <w:t xml:space="preserve"> Służbie</w:t>
      </w:r>
      <w:proofErr w:type="gramEnd"/>
      <w:r>
        <w:rPr>
          <w:rFonts w:ascii="Times New Roman" w:hAnsi="Times New Roman"/>
          <w:iCs/>
          <w:sz w:val="24"/>
          <w:szCs w:val="24"/>
        </w:rPr>
        <w:t xml:space="preserve"> Celno Skarbowej – jest niestety powtórzeniem schematów działania z 2004 r. oraz z 2017 r.  </w:t>
      </w:r>
    </w:p>
    <w:p w14:paraId="76096469"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Ponownie pomija się funkcjonariuszy SCS i nie przyznaje świadczenia mieszkaniowego jedynej formacji mundurowej w Polsce. Ignoruje się skutki społeczne i prawne, narusza się zasadę równego traktowania służb mundurowych oraz umniejsza się rolę jaką w całym systemie bezpieczeństwa Polski i Obszaru celnego Unii Europejskiej odgrywa Służba Celno_- Skarbowa. </w:t>
      </w:r>
    </w:p>
    <w:p w14:paraId="615E10A5"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Zarówno w wymiarze prawnym, jak i społecznym, jest to sytuacja nieakceptowalna. W sposób oczywisty narusza konstytucyjne zasady: równości (art. 32 Konstytucji), zaufania obywateli do państwa, poszanowania praw nabytych, ochrony praw służb mundurowych. </w:t>
      </w:r>
    </w:p>
    <w:p w14:paraId="70B1778F"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63449F2F" w14:textId="39DFF8AD"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Dzisiejsza sytuacja wymaga pilnej interwencji, aby nie powtórzyć kosztownych błędów z 2004 r. oraz 2017 r. </w:t>
      </w:r>
      <w:proofErr w:type="gramStart"/>
      <w:r w:rsidR="00FF6F57">
        <w:rPr>
          <w:rFonts w:ascii="Times New Roman" w:hAnsi="Times New Roman"/>
          <w:iCs/>
          <w:sz w:val="24"/>
          <w:szCs w:val="24"/>
        </w:rPr>
        <w:t xml:space="preserve">i </w:t>
      </w:r>
      <w:r>
        <w:rPr>
          <w:rFonts w:ascii="Times New Roman" w:hAnsi="Times New Roman"/>
          <w:iCs/>
          <w:sz w:val="24"/>
          <w:szCs w:val="24"/>
        </w:rPr>
        <w:t xml:space="preserve"> uniknąć</w:t>
      </w:r>
      <w:proofErr w:type="gramEnd"/>
      <w:r>
        <w:rPr>
          <w:rFonts w:ascii="Times New Roman" w:hAnsi="Times New Roman"/>
          <w:iCs/>
          <w:sz w:val="24"/>
          <w:szCs w:val="24"/>
        </w:rPr>
        <w:t xml:space="preserve"> kolejnej fali pozwów, postępowań i wyroków obciążających Skarb Państwa.  Służba Celno Skarbowa musi zostać objęta świadczeniem mieszkaniowym na równi z pozostałymi służbami mundurowymi. To kwestia elementarnej sprawiedliwości, odpowiedzialności państwa oraz stabilności systemu bezpieczeństwa finansowego kraju. </w:t>
      </w:r>
    </w:p>
    <w:p w14:paraId="5A9BC030"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Dotychczasowe próby dialogu </w:t>
      </w:r>
      <w:proofErr w:type="gramStart"/>
      <w:r>
        <w:rPr>
          <w:rFonts w:ascii="Times New Roman" w:hAnsi="Times New Roman"/>
          <w:iCs/>
          <w:sz w:val="24"/>
          <w:szCs w:val="24"/>
        </w:rPr>
        <w:t>prowadzone  od</w:t>
      </w:r>
      <w:proofErr w:type="gramEnd"/>
      <w:r>
        <w:rPr>
          <w:rFonts w:ascii="Times New Roman" w:hAnsi="Times New Roman"/>
          <w:iCs/>
          <w:sz w:val="24"/>
          <w:szCs w:val="24"/>
        </w:rPr>
        <w:t xml:space="preserve"> 2023 r.  strony społecznej ze stroną rządową nie przynoszą oczekiwanych rezultatów. Coraz częściej środowisko celników </w:t>
      </w:r>
      <w:proofErr w:type="gramStart"/>
      <w:r>
        <w:rPr>
          <w:rFonts w:ascii="Times New Roman" w:hAnsi="Times New Roman"/>
          <w:iCs/>
          <w:sz w:val="24"/>
          <w:szCs w:val="24"/>
        </w:rPr>
        <w:t>spotyka  się</w:t>
      </w:r>
      <w:proofErr w:type="gramEnd"/>
      <w:r>
        <w:rPr>
          <w:rFonts w:ascii="Times New Roman" w:hAnsi="Times New Roman"/>
          <w:iCs/>
          <w:sz w:val="24"/>
          <w:szCs w:val="24"/>
        </w:rPr>
        <w:t xml:space="preserve"> z ignorancją i oporem, uniemożliwiającym omawianie kluczowych kwestii dotyczących funkcjonowania KAS.  </w:t>
      </w:r>
    </w:p>
    <w:p w14:paraId="2428E3C8"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Ministerstwo Finansów nie poczuwa się do odpowiedzialności w zakresie obrony interesów funkcjonariuszy Służby Celno-Skarbowej. Po raz kolejny funkcjonariusze Służby Celno-Skarbowej są dyskryminowani w stosunku do funkcjonariuszy innych </w:t>
      </w:r>
      <w:proofErr w:type="gramStart"/>
      <w:r>
        <w:rPr>
          <w:rFonts w:ascii="Times New Roman" w:hAnsi="Times New Roman"/>
          <w:iCs/>
          <w:sz w:val="24"/>
          <w:szCs w:val="24"/>
        </w:rPr>
        <w:t>służb pomimo,</w:t>
      </w:r>
      <w:proofErr w:type="gramEnd"/>
      <w:r>
        <w:rPr>
          <w:rFonts w:ascii="Times New Roman" w:hAnsi="Times New Roman"/>
          <w:iCs/>
          <w:sz w:val="24"/>
          <w:szCs w:val="24"/>
        </w:rPr>
        <w:t xml:space="preserve"> że obok Policji, Służby Ochrony Państwa, Straży Granicznej, Państwowej Straży Pożarnej, Służby Więziennej, Straży Marszałkowskiej, Służba Celno-Skarbowa stanowi organ ochrony bezpieczeństwa i porządku publicznego Państwa oraz obszaru celnego Unii Europejskiej. Wszyscy funkcjonariusze służb mundurowych wykonują zadania związane z wykrywaniem i zwalczaniem działań naruszających porządek publiczny lub zagrażających bezpieczeństwu Państwa, w tym zwalczania przestępczości </w:t>
      </w:r>
      <w:r>
        <w:rPr>
          <w:rFonts w:ascii="Times New Roman" w:hAnsi="Times New Roman"/>
          <w:iCs/>
          <w:sz w:val="24"/>
          <w:szCs w:val="24"/>
        </w:rPr>
        <w:lastRenderedPageBreak/>
        <w:t xml:space="preserve">ekonomicznej, które zagraża finansom Państwa, co jest główną domeną m. in. Służby Celno– Skarbowej. </w:t>
      </w:r>
    </w:p>
    <w:p w14:paraId="4FB72A2D" w14:textId="77777777" w:rsidR="00122D90" w:rsidRDefault="004C2B7F">
      <w:pPr>
        <w:suppressAutoHyphens w:val="0"/>
        <w:spacing w:after="0" w:line="276" w:lineRule="auto"/>
        <w:ind w:right="-284"/>
        <w:jc w:val="both"/>
        <w:textAlignment w:val="auto"/>
      </w:pPr>
      <w:r>
        <w:rPr>
          <w:rFonts w:ascii="Times New Roman" w:hAnsi="Times New Roman"/>
          <w:iCs/>
          <w:sz w:val="24"/>
          <w:szCs w:val="24"/>
        </w:rPr>
        <w:t xml:space="preserve"> </w:t>
      </w:r>
      <w:r>
        <w:rPr>
          <w:rFonts w:ascii="Times New Roman" w:hAnsi="Times New Roman"/>
          <w:sz w:val="24"/>
          <w:szCs w:val="24"/>
        </w:rPr>
        <w:t>Za absurdalny należy uznać argument powołany przez Szefa KAS:</w:t>
      </w:r>
    </w:p>
    <w:p w14:paraId="40D9D4DE"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 xml:space="preserve">odmienny jest zakres ustawowych zadań danej służby. Biorąc pod uwagę specyfikę służby poszczególnych formacji mundurowych, przyznanie dodatku mieszkaniowego wybranym formacjom nie narusza zasady równego traktowania w stosunku do pozostałych służb mundurowych podległych Ministerstwu Spraw Wewnętrznych i Administracji czy Ministerstwu Sprawiedliwości, </w:t>
      </w:r>
    </w:p>
    <w:p w14:paraId="7FC81E4A"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bowiem racjonalny ustawodawca nie przyznaje identycznych uprawnień wszystkim funkcjonariuszom służb mundurowych, lecz dzieli na poszczególne formacje zadania w celu całościowego zadbania o bezpieczeństwo kraju na różnych płaszczyznach. </w:t>
      </w:r>
    </w:p>
    <w:p w14:paraId="3B3EEE53"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7849C04A"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Trzy formacje, tj. Straż Graniczna, Policja oraz SCS nie różnią się w kwestii pragmatyki.  </w:t>
      </w:r>
    </w:p>
    <w:p w14:paraId="4062C46E"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Przeniesienia funkcjonariuszy do innej miejscowości korelują z interesem służby i winne być traktowane identycznie we wszystkich służbach mundurowych, tj. ustawodawca powinien promować i </w:t>
      </w:r>
      <w:proofErr w:type="gramStart"/>
      <w:r>
        <w:rPr>
          <w:rFonts w:ascii="Times New Roman" w:hAnsi="Times New Roman"/>
          <w:sz w:val="24"/>
          <w:szCs w:val="24"/>
        </w:rPr>
        <w:t>wspierać  ze</w:t>
      </w:r>
      <w:proofErr w:type="gramEnd"/>
      <w:r>
        <w:rPr>
          <w:rFonts w:ascii="Times New Roman" w:hAnsi="Times New Roman"/>
          <w:sz w:val="24"/>
          <w:szCs w:val="24"/>
        </w:rPr>
        <w:t xml:space="preserve"> względu na dobro służby i dobro </w:t>
      </w:r>
      <w:proofErr w:type="gramStart"/>
      <w:r>
        <w:rPr>
          <w:rFonts w:ascii="Times New Roman" w:hAnsi="Times New Roman"/>
          <w:sz w:val="24"/>
          <w:szCs w:val="24"/>
        </w:rPr>
        <w:t>funkcjonariusza  osiedlanie</w:t>
      </w:r>
      <w:proofErr w:type="gramEnd"/>
      <w:r>
        <w:rPr>
          <w:rFonts w:ascii="Times New Roman" w:hAnsi="Times New Roman"/>
          <w:sz w:val="24"/>
          <w:szCs w:val="24"/>
        </w:rPr>
        <w:t xml:space="preserve"> się funkcjonariuszy w miejscowości, w której pełnią służbę.</w:t>
      </w:r>
    </w:p>
    <w:p w14:paraId="28167905" w14:textId="77777777" w:rsidR="00122D90" w:rsidRDefault="004C2B7F">
      <w:pPr>
        <w:suppressAutoHyphens w:val="0"/>
        <w:spacing w:after="0" w:line="276" w:lineRule="auto"/>
        <w:ind w:right="-284"/>
        <w:jc w:val="both"/>
        <w:textAlignment w:val="auto"/>
      </w:pPr>
      <w:r>
        <w:rPr>
          <w:rFonts w:ascii="Times New Roman" w:hAnsi="Times New Roman"/>
          <w:sz w:val="24"/>
          <w:szCs w:val="24"/>
        </w:rPr>
        <w:t>W ustawie o SG</w:t>
      </w:r>
      <w:r>
        <w:rPr>
          <w:rFonts w:ascii="Times New Roman" w:hAnsi="Times New Roman"/>
          <w:sz w:val="24"/>
          <w:szCs w:val="24"/>
          <w:vertAlign w:val="superscript"/>
        </w:rPr>
        <w:footnoteReference w:id="4"/>
      </w:r>
      <w:r>
        <w:rPr>
          <w:rFonts w:ascii="Times New Roman" w:hAnsi="Times New Roman"/>
          <w:sz w:val="24"/>
          <w:szCs w:val="24"/>
        </w:rPr>
        <w:t xml:space="preserve"> w art. 40 wskazano:</w:t>
      </w:r>
    </w:p>
    <w:p w14:paraId="012D6C1E"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1. Funkcjonariusz może być przeniesiony do pełnienia służby albo delegowany do czasowego pełnienia służby w innej jednostce organizacyjnej Straży Granicznej lub innej miejscowości z urzędu lub na własną prośbę.</w:t>
      </w:r>
    </w:p>
    <w:p w14:paraId="46997052"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2. Funkcjonariusz może być delegowany do czasowego pełnienia służby:</w:t>
      </w:r>
    </w:p>
    <w:p w14:paraId="0776E730"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1) na terytorium innego państwa członkowskiego Unii Europejskiej w ramach wykonywania zadań określonych w przepisach prawa Unii Europejskiej lub umowach międzynarodowych wiążących Rzeczpospolitą Polską;</w:t>
      </w:r>
    </w:p>
    <w:p w14:paraId="778FE2DE"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2) na terytorium państw nienależących do Unii Europejskiej w ramach wykonywania zadań określonych w umowach międzynarodowych wiążących Rzeczpospolitą Polską, za jego pisemną zgodą.</w:t>
      </w:r>
    </w:p>
    <w:p w14:paraId="65FF54F5"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3. Delegowanie, o którym mowa w ust. 1 i ust. 2 pkt 1, jeżeli następuje z urzędu nie może przekraczać łącznie 6 miesięcy w okresie 2 lat, chyba że funkcjonariusz wyraża zgodę na dłuższe delegowanie w tym okresie.</w:t>
      </w:r>
    </w:p>
    <w:p w14:paraId="0F6B3404"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3a. Okres 2 lat, o którym mowa w ust. 3, liczy się od dnia, w którym rozpoczęło się pierwsze delegowanie.</w:t>
      </w:r>
    </w:p>
    <w:p w14:paraId="1EB73E58"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3b. W okresie 2 lat od dnia przeniesienia z urzędu do pełnienia służby w innej jednostce organizacyjnej Straży Granicznej lub innej miejscowości, funkcjonariusz może być, po raz kolejny, przeniesiony do pełnienia służby w innej jednostce organizacyjnej Straży Granicznej lub innej miejscowości, tylko za jego pisemną zgodą.</w:t>
      </w:r>
    </w:p>
    <w:p w14:paraId="76DF74FB"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3c. Przepisu ust. 3b nie stosuje się, jeżeli przeniesienie funkcjonariusza do innej jednostki organizacyjnej Straży Granicznej jest związane ze zmianami organizacyjnymi w Straży Granicznej i nie powoduje zmiany warunków i miejsca pełnienia służby.</w:t>
      </w:r>
    </w:p>
    <w:p w14:paraId="7597B82B"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5881348B" w14:textId="77777777" w:rsidR="00122D90" w:rsidRDefault="004C2B7F">
      <w:pPr>
        <w:suppressAutoHyphens w:val="0"/>
        <w:spacing w:after="0" w:line="276" w:lineRule="auto"/>
        <w:ind w:right="-284"/>
        <w:jc w:val="both"/>
        <w:textAlignment w:val="auto"/>
      </w:pPr>
      <w:r>
        <w:rPr>
          <w:rFonts w:ascii="Times New Roman" w:hAnsi="Times New Roman"/>
          <w:sz w:val="24"/>
          <w:szCs w:val="24"/>
        </w:rPr>
        <w:t>W art. 36 i 36 m ustawy o Policji</w:t>
      </w:r>
      <w:r>
        <w:rPr>
          <w:rFonts w:ascii="Times New Roman" w:hAnsi="Times New Roman"/>
          <w:sz w:val="24"/>
          <w:szCs w:val="24"/>
          <w:vertAlign w:val="superscript"/>
        </w:rPr>
        <w:footnoteReference w:id="5"/>
      </w:r>
      <w:r>
        <w:rPr>
          <w:rFonts w:ascii="Times New Roman" w:hAnsi="Times New Roman"/>
          <w:sz w:val="24"/>
          <w:szCs w:val="24"/>
        </w:rPr>
        <w:t>:</w:t>
      </w:r>
    </w:p>
    <w:p w14:paraId="6FC99A20"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1. Policjant może być przeniesiony do pełnienia służby albo delegowany do czasowego pełnienia służby w innej jednostce organizacyjnej Policji lub w innej miejscowości z urzędu lub na własną prośbę.</w:t>
      </w:r>
    </w:p>
    <w:p w14:paraId="242AB177"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3. Czas delegacji nie może przekraczać 6 miesięcy. Komendant Główny Policji, Komendant CBŚP, Komendant BSWP, Komendant CBZC albo Dyrektor CLKP w wyjątkowych przypadkach może przedłużyć czas delegacji do 12 miesięcy.</w:t>
      </w:r>
    </w:p>
    <w:p w14:paraId="14E6F52E" w14:textId="77777777" w:rsidR="00122D90" w:rsidRDefault="00122D90">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p>
    <w:p w14:paraId="7B589C1B"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 xml:space="preserve">1. Policjant w czasie oddelegowania do wykonywania zadań służbowych w instytucji zagranicznej zachowuje prawo do uposażenia zasadniczego, dodatków do uposażenia o charakterze stałym i innych należności pieniężnych </w:t>
      </w:r>
      <w:r>
        <w:rPr>
          <w:rFonts w:ascii="Times New Roman" w:hAnsi="Times New Roman"/>
          <w:sz w:val="20"/>
          <w:szCs w:val="20"/>
        </w:rPr>
        <w:lastRenderedPageBreak/>
        <w:t>należnych na ostatnio zajmowanym stanowisku służbowym, z uwzględnieniem powstałych w tym okresie zmian mających wpływ na prawo do uposażenia i innych należności pieniężnych lub na ich wysokość.</w:t>
      </w:r>
    </w:p>
    <w:p w14:paraId="1169B312"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2. Policjantowi, o którym mowa w ust. 1, przysługują również:</w:t>
      </w:r>
    </w:p>
    <w:p w14:paraId="1F076560"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sz w:val="20"/>
          <w:szCs w:val="20"/>
        </w:rPr>
        <w:t>1</w:t>
      </w:r>
      <w:r>
        <w:rPr>
          <w:rFonts w:ascii="Times New Roman" w:hAnsi="Times New Roman"/>
          <w:i/>
          <w:iCs/>
          <w:sz w:val="20"/>
          <w:szCs w:val="20"/>
        </w:rPr>
        <w:t>) należności z tytułu zagranicznej podróży służbowej;</w:t>
      </w:r>
    </w:p>
    <w:p w14:paraId="79C8D150"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i/>
          <w:iCs/>
          <w:sz w:val="20"/>
          <w:szCs w:val="20"/>
        </w:rPr>
      </w:pPr>
      <w:r>
        <w:rPr>
          <w:rFonts w:ascii="Times New Roman" w:hAnsi="Times New Roman"/>
          <w:i/>
          <w:iCs/>
          <w:sz w:val="20"/>
          <w:szCs w:val="20"/>
        </w:rPr>
        <w:t>2) zwrot kosztów przewozu rzeczy osobistego użytku i przedmiotów gospodarstwa domowego;</w:t>
      </w:r>
    </w:p>
    <w:p w14:paraId="2812E82B"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i/>
          <w:iCs/>
          <w:sz w:val="20"/>
          <w:szCs w:val="20"/>
        </w:rPr>
      </w:pPr>
      <w:r>
        <w:rPr>
          <w:rFonts w:ascii="Times New Roman" w:hAnsi="Times New Roman"/>
          <w:i/>
          <w:iCs/>
          <w:sz w:val="20"/>
          <w:szCs w:val="20"/>
        </w:rPr>
        <w:t>3) ryczałt na pokrycie kosztów utrzymania;</w:t>
      </w:r>
    </w:p>
    <w:p w14:paraId="78618811"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i/>
          <w:iCs/>
          <w:sz w:val="20"/>
          <w:szCs w:val="20"/>
        </w:rPr>
      </w:pPr>
      <w:r>
        <w:rPr>
          <w:rFonts w:ascii="Times New Roman" w:hAnsi="Times New Roman"/>
          <w:i/>
          <w:iCs/>
          <w:sz w:val="20"/>
          <w:szCs w:val="20"/>
        </w:rPr>
        <w:t>4) zwrot kosztów leczenia.</w:t>
      </w:r>
    </w:p>
    <w:p w14:paraId="50ADFB32"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3D8A934B" w14:textId="77777777" w:rsidR="00122D90" w:rsidRDefault="004C2B7F">
      <w:pPr>
        <w:suppressAutoHyphens w:val="0"/>
        <w:spacing w:after="0" w:line="276" w:lineRule="auto"/>
        <w:ind w:right="-284"/>
        <w:jc w:val="both"/>
        <w:textAlignment w:val="auto"/>
      </w:pPr>
      <w:r>
        <w:rPr>
          <w:rFonts w:ascii="Times New Roman" w:hAnsi="Times New Roman"/>
          <w:sz w:val="24"/>
          <w:szCs w:val="24"/>
        </w:rPr>
        <w:t xml:space="preserve">W art. </w:t>
      </w:r>
      <w:r>
        <w:rPr>
          <w:rFonts w:ascii="Times New Roman" w:hAnsi="Times New Roman"/>
          <w:color w:val="000000"/>
          <w:sz w:val="24"/>
          <w:szCs w:val="24"/>
          <w:lang w:eastAsia="pl-PL"/>
        </w:rPr>
        <w:t>162 ustawy o KAS</w:t>
      </w:r>
      <w:r>
        <w:rPr>
          <w:rFonts w:ascii="Times New Roman" w:hAnsi="Times New Roman"/>
          <w:color w:val="000000"/>
          <w:sz w:val="24"/>
          <w:szCs w:val="24"/>
          <w:vertAlign w:val="superscript"/>
          <w:lang w:eastAsia="pl-PL"/>
        </w:rPr>
        <w:footnoteReference w:id="6"/>
      </w:r>
      <w:r>
        <w:rPr>
          <w:rFonts w:ascii="Times New Roman" w:hAnsi="Times New Roman"/>
          <w:color w:val="000000"/>
          <w:sz w:val="24"/>
          <w:szCs w:val="24"/>
          <w:lang w:eastAsia="pl-PL"/>
        </w:rPr>
        <w:t xml:space="preserve"> uregulowane zostały kwestie przeniesienia funkcjonariusza do innej jednostki:</w:t>
      </w:r>
    </w:p>
    <w:p w14:paraId="08416DD4"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Pr>
          <w:rFonts w:ascii="Times New Roman" w:hAnsi="Times New Roman"/>
          <w:color w:val="000000"/>
          <w:sz w:val="20"/>
          <w:szCs w:val="20"/>
          <w:lang w:eastAsia="pl-PL"/>
        </w:rPr>
        <w:t>1. Jeżeli wymagają tego potrzeby KAS, funkcjonariuszowi można powierzyć pełnienie obowiązków służbowych na innym stanowisku na okres do 6 miesięcy, zgodnie z jego kwalifikacjami. W szczególnie uzasadnionych przypadkach powierzenie obowiązków może zostać przedłużone do 12 miesięcy.</w:t>
      </w:r>
    </w:p>
    <w:p w14:paraId="511F1FBA"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Pr>
          <w:rFonts w:ascii="Times New Roman" w:hAnsi="Times New Roman"/>
          <w:color w:val="000000"/>
          <w:sz w:val="20"/>
          <w:szCs w:val="20"/>
          <w:lang w:eastAsia="pl-PL"/>
        </w:rPr>
        <w:t>2. Jeżeli wymagają tego potrzeby KAS, funkcjonariusza można przenieść na takie samo albo równorzędne stanowisko do innej jednostki organizacyjnej KAS, w tej samej albo innej miejscowości.</w:t>
      </w:r>
    </w:p>
    <w:p w14:paraId="321107E0"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Pr>
          <w:rFonts w:ascii="Times New Roman" w:hAnsi="Times New Roman"/>
          <w:color w:val="000000"/>
          <w:sz w:val="20"/>
          <w:szCs w:val="20"/>
          <w:lang w:eastAsia="pl-PL"/>
        </w:rPr>
        <w:t xml:space="preserve">4. Funkcjonariuszowi, w związku z przeniesieniem do służby w innej miejscowości, przysługuje jednorazowe świadczenie pieniężne na zagospodarowanie w wysokości jednomiesięcznego uposażenia, w </w:t>
      </w:r>
      <w:proofErr w:type="gramStart"/>
      <w:r>
        <w:rPr>
          <w:rFonts w:ascii="Times New Roman" w:hAnsi="Times New Roman"/>
          <w:color w:val="000000"/>
          <w:sz w:val="20"/>
          <w:szCs w:val="20"/>
          <w:lang w:eastAsia="pl-PL"/>
        </w:rPr>
        <w:t>przypadku</w:t>
      </w:r>
      <w:proofErr w:type="gramEnd"/>
      <w:r>
        <w:rPr>
          <w:rFonts w:ascii="Times New Roman" w:hAnsi="Times New Roman"/>
          <w:color w:val="000000"/>
          <w:sz w:val="20"/>
          <w:szCs w:val="20"/>
          <w:lang w:eastAsia="pl-PL"/>
        </w:rPr>
        <w:t xml:space="preserve"> gdy łączy się z tym zmiana miejsca zamieszkania. Przepisu tego nie stosuje się w przypadku, o którym mowa w ust. 3.</w:t>
      </w:r>
    </w:p>
    <w:p w14:paraId="5267E607"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Pr>
          <w:rFonts w:ascii="Times New Roman" w:hAnsi="Times New Roman"/>
          <w:color w:val="000000"/>
          <w:sz w:val="20"/>
          <w:szCs w:val="20"/>
          <w:lang w:eastAsia="pl-PL"/>
        </w:rPr>
        <w:t>5. Jeżeli wymagają tego potrzeby KAS, funkcjonariusza można przenieść czasowo, na okres do 6 miesięcy w roku kalendarzowym, w tej samej albo innej miejscowości do innej jednostki organizacyjnej KAS. W okresie 2 lat od dnia przeniesienia do pełnienia służby stałej w innej miejscowości funkcjonariusz może być, po raz kolejny, przeniesiony do pełnienia służby w następnej miejscowości, a jeżeli dojazd do miejsca zamieszkania z tej następnej miejscowości jest znacznie utrudniony - tylko za pisemną zgodą funkcjonariusza.</w:t>
      </w:r>
    </w:p>
    <w:p w14:paraId="76F08995"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color w:val="000000"/>
          <w:sz w:val="20"/>
          <w:szCs w:val="20"/>
          <w:lang w:eastAsia="pl-PL"/>
        </w:rPr>
      </w:pPr>
      <w:r>
        <w:rPr>
          <w:rFonts w:ascii="Times New Roman" w:hAnsi="Times New Roman"/>
          <w:color w:val="000000"/>
          <w:sz w:val="20"/>
          <w:szCs w:val="20"/>
          <w:lang w:eastAsia="pl-PL"/>
        </w:rPr>
        <w:t>5a. W przypadku wprowadzenia stanu klęski żywiołowej, ogłoszenia stanu zagrożenia epidemicznego albo stanu epidemii okres czasowego przeniesienia, o którym mowa w ust. 5, może zostać przedłużony po raz kolejny, jednak nie dłużej niż o 6 miesięcy.</w:t>
      </w:r>
    </w:p>
    <w:p w14:paraId="04DB20AE"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658156F3" w14:textId="5CDB75CB" w:rsidR="00122D90" w:rsidRDefault="004C2B7F">
      <w:pPr>
        <w:suppressAutoHyphens w:val="0"/>
        <w:spacing w:after="0" w:line="276" w:lineRule="auto"/>
        <w:ind w:right="-284"/>
        <w:jc w:val="both"/>
        <w:textAlignment w:val="auto"/>
        <w:rPr>
          <w:rFonts w:ascii="Times New Roman" w:hAnsi="Times New Roman"/>
          <w:b/>
          <w:bCs/>
          <w:sz w:val="24"/>
          <w:szCs w:val="24"/>
        </w:rPr>
      </w:pPr>
      <w:r>
        <w:rPr>
          <w:rFonts w:ascii="Times New Roman" w:hAnsi="Times New Roman"/>
          <w:b/>
          <w:bCs/>
          <w:sz w:val="24"/>
          <w:szCs w:val="24"/>
        </w:rPr>
        <w:t xml:space="preserve">Jak widać z porównania zapisów ustawowych każda z wymienionych wyżej formacji ma w swoich charakterze mobilność w zakresie miejsca wykonywania zadań, </w:t>
      </w:r>
      <w:r w:rsidR="00FF6F57">
        <w:rPr>
          <w:rFonts w:ascii="Times New Roman" w:hAnsi="Times New Roman"/>
          <w:b/>
          <w:bCs/>
          <w:sz w:val="24"/>
          <w:szCs w:val="24"/>
        </w:rPr>
        <w:t xml:space="preserve">identycznie </w:t>
      </w:r>
      <w:r>
        <w:rPr>
          <w:rFonts w:ascii="Times New Roman" w:hAnsi="Times New Roman"/>
          <w:b/>
          <w:bCs/>
          <w:sz w:val="24"/>
          <w:szCs w:val="24"/>
        </w:rPr>
        <w:t>uregulowaną.</w:t>
      </w:r>
    </w:p>
    <w:p w14:paraId="2DF19AC5"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28CB4006" w14:textId="77777777" w:rsidR="00122D90" w:rsidRDefault="004C2B7F">
      <w:pPr>
        <w:suppressAutoHyphens w:val="0"/>
        <w:spacing w:after="0" w:line="276" w:lineRule="auto"/>
        <w:ind w:right="-284"/>
        <w:jc w:val="both"/>
        <w:textAlignment w:val="auto"/>
      </w:pPr>
      <w:r>
        <w:rPr>
          <w:rFonts w:ascii="Times New Roman" w:hAnsi="Times New Roman"/>
          <w:sz w:val="24"/>
          <w:szCs w:val="24"/>
        </w:rPr>
        <w:t xml:space="preserve">Należy jednak zwrócić uwagę, że funkcjonariusze Policji (art. 88 ustawy o Policji) oraz Straży Granicznej (art. 92 ustawy o SG) mają prawo do zakwaterowania. </w:t>
      </w:r>
      <w:r>
        <w:t xml:space="preserve"> </w:t>
      </w:r>
      <w:r>
        <w:rPr>
          <w:rFonts w:ascii="Times New Roman" w:hAnsi="Times New Roman"/>
          <w:sz w:val="24"/>
          <w:szCs w:val="24"/>
        </w:rPr>
        <w:t xml:space="preserve">Prawo do zakwaterowania w obu przypadkach jest realizowane w następujących formach: przydział lokalu mieszkalnego; przydział kwatery tymczasowej; skierowanie do miejsca w internacie albo kwatery internatowej; </w:t>
      </w:r>
      <w:r>
        <w:rPr>
          <w:rFonts w:ascii="Times New Roman" w:hAnsi="Times New Roman"/>
          <w:b/>
          <w:bCs/>
          <w:sz w:val="24"/>
          <w:szCs w:val="24"/>
        </w:rPr>
        <w:t>przyznanie świadczenia mieszkaniowego.</w:t>
      </w:r>
    </w:p>
    <w:p w14:paraId="1863F276"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Warto dodać, że przydział lokalu dotyczy też innych służb mających w swojej pragmatyce oddelegowanie, tj.  funkcjonariuszem Państwowej Straży Pożarnej, funkcjonariuszem Służby Ochrony Państwa, funkcjonariuszem Agencji Bezpieczeństwa Wewnętrznego, funkcjonariuszem Agencji Wywiadu, funkcjonariuszem Służby Wywiadu Wojskowego, funkcjonariuszem Służby Kontrwywiadu Wojskowego, żołnierzem Sił Zbrojnych Rzeczypospolitej Polskiej i wszystkie te służby otrzymały prawo do świadczenia mieszkaniowego.</w:t>
      </w:r>
    </w:p>
    <w:p w14:paraId="4D5948E5"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Natomiast delegowani do innej miejscowości funkcjonariusze SCS, czy rozpoczynający pełnienie służby w miejscowości oddalonej od miejsca zamieszkania nie mają prawa do ww. świadczeń </w:t>
      </w:r>
      <w:r>
        <w:rPr>
          <w:rFonts w:ascii="Times New Roman" w:hAnsi="Times New Roman"/>
          <w:sz w:val="24"/>
          <w:szCs w:val="24"/>
        </w:rPr>
        <w:lastRenderedPageBreak/>
        <w:t>i zamieszkują w podrzędnych hotelach, pensjonatach i domach agroturystyki – bez rodzin.  Tak są traktowaniu funkcjonariusze Służby Celno – Skarbowej.</w:t>
      </w:r>
    </w:p>
    <w:p w14:paraId="754E6396"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W wyniku działań związku </w:t>
      </w:r>
      <w:proofErr w:type="gramStart"/>
      <w:r>
        <w:rPr>
          <w:rFonts w:ascii="Times New Roman" w:hAnsi="Times New Roman"/>
          <w:iCs/>
          <w:sz w:val="24"/>
          <w:szCs w:val="24"/>
        </w:rPr>
        <w:t>zawodowego  ZZ</w:t>
      </w:r>
      <w:proofErr w:type="gramEnd"/>
      <w:r>
        <w:rPr>
          <w:rFonts w:ascii="Times New Roman" w:hAnsi="Times New Roman"/>
          <w:iCs/>
          <w:sz w:val="24"/>
          <w:szCs w:val="24"/>
        </w:rPr>
        <w:t xml:space="preserve"> Celnicy PL, </w:t>
      </w:r>
      <w:proofErr w:type="gramStart"/>
      <w:r>
        <w:rPr>
          <w:rFonts w:ascii="Times New Roman" w:hAnsi="Times New Roman"/>
          <w:iCs/>
          <w:sz w:val="24"/>
          <w:szCs w:val="24"/>
        </w:rPr>
        <w:t>w  dniu</w:t>
      </w:r>
      <w:proofErr w:type="gramEnd"/>
      <w:r>
        <w:rPr>
          <w:rFonts w:ascii="Times New Roman" w:hAnsi="Times New Roman"/>
          <w:iCs/>
          <w:sz w:val="24"/>
          <w:szCs w:val="24"/>
        </w:rPr>
        <w:t xml:space="preserve"> 3 marca 2015 r. Trybunał Konstytucyjny wydał wyrok  - sygn. akt K 39/13, w którym jednoznacznie potwierdził, że funkcjonariusze Służby Celnej – obecnie Służby Celno-Skarbowej – stanowią formację mundurową, która powinna być traktowana na równi z innymi służbami i uznał, że art. 1, art. 18a ust. 1 i art. 18b ust. 1 ustawy o zaopatrzeniu emerytalnym funkcjonariuszy Policji, Agencji Bezpieczeństwa Wewnętrznego, Agencji Wywiadu, Służby Kontrwywiadu Wojskowego (…), w zakresie w jakim wśród osób uprawnionych do świadczeń emerytalnych pomijają funkcjonariuszy Służby Celnej, którzy wykonują zadania określone w art. 2 ust. 1 pkt 4-6 ustawy z dnia 27 sierpnia 2009 r. o Służbie Celnej są niezgodne z art. 32 Konstytucji RP.  </w:t>
      </w:r>
    </w:p>
    <w:p w14:paraId="5B4F6EFF"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Trybunał Konstytucyjny uznał, że Służba Celna zaliczana jest do służb mundurowych. O przynależności do tej kategorii nie decydował fakt noszenia </w:t>
      </w:r>
      <w:proofErr w:type="gramStart"/>
      <w:r>
        <w:rPr>
          <w:rFonts w:ascii="Times New Roman" w:hAnsi="Times New Roman"/>
          <w:iCs/>
          <w:sz w:val="24"/>
          <w:szCs w:val="24"/>
        </w:rPr>
        <w:t>umundurowania</w:t>
      </w:r>
      <w:proofErr w:type="gramEnd"/>
      <w:r>
        <w:rPr>
          <w:rFonts w:ascii="Times New Roman" w:hAnsi="Times New Roman"/>
          <w:iCs/>
          <w:sz w:val="24"/>
          <w:szCs w:val="24"/>
        </w:rPr>
        <w:t xml:space="preserve"> lecz cechy stosunku służbowego w jakim pozostaje funkcjonariusz celny. Wstępując w szeregi Służby Celnej każdy obywatel musi podporządkować swoje życie rygorom służby. Nie może on umówić się z kierownikiem urzędu co do zakresu wykonywanych obowiązków, wysokości uposażenia, miejsca i czasu pełnienia służby, stanowiska i stopnia służbowego. Elementy te są określone wprost w przepisach prawa, a także doprecyzowane przez przełożonego. Wynika to z prymatu interesu publicznego nad oczekiwaniami i aspiracjami funkcjonariusza. To potrzeby Służby Celnej decydują m.in. o możliwości przeniesienia funkcjonariusza do innej jednostki organizacyjnej tej formacji w innej miejscowości czy skierowania go do pełnienia służby w systemie nadzwyczajnym. Zatem przez cały okres służby każdy funkcjonariusz musi pozostawać w stałej gotowości do realizacji zadań, zaś potwierdzeniem tego są występujące w Służbie Celno-Skarbowej przypadki przenoszenia funkcjonariuszy z komórek wewnętrznych do służby na przejściach granicznych </w:t>
      </w:r>
      <w:proofErr w:type="gramStart"/>
      <w:r>
        <w:rPr>
          <w:rFonts w:ascii="Times New Roman" w:hAnsi="Times New Roman"/>
          <w:iCs/>
          <w:sz w:val="24"/>
          <w:szCs w:val="24"/>
        </w:rPr>
        <w:t>( masowy</w:t>
      </w:r>
      <w:proofErr w:type="gramEnd"/>
      <w:r>
        <w:rPr>
          <w:rFonts w:ascii="Times New Roman" w:hAnsi="Times New Roman"/>
          <w:iCs/>
          <w:sz w:val="24"/>
          <w:szCs w:val="24"/>
        </w:rPr>
        <w:t xml:space="preserve"> proces alokacji w 2004 roku</w:t>
      </w:r>
      <w:proofErr w:type="gramStart"/>
      <w:r>
        <w:rPr>
          <w:rFonts w:ascii="Times New Roman" w:hAnsi="Times New Roman"/>
          <w:iCs/>
          <w:sz w:val="24"/>
          <w:szCs w:val="24"/>
        </w:rPr>
        <w:t>) ,</w:t>
      </w:r>
      <w:proofErr w:type="gramEnd"/>
      <w:r>
        <w:rPr>
          <w:rFonts w:ascii="Times New Roman" w:hAnsi="Times New Roman"/>
          <w:iCs/>
          <w:sz w:val="24"/>
          <w:szCs w:val="24"/>
        </w:rPr>
        <w:t xml:space="preserve"> podyktowane aktualnymi potrzebami formacji i sytuacja geopolityczną. </w:t>
      </w:r>
    </w:p>
    <w:p w14:paraId="11621012"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Na status prawny funkcjonariusza Służby Celno-Skarbowej wpływają również istotne ograniczenia jego praw tj.: wolności wyrażania poglądów" politycznych, wolności zrzeszania, wolności komunikowania się, a także możliwości wykonywania dodatkowych zajęć zarobkowych. Na uwagę zasługuje także zakres podległości służbowej funkcjonariusza. Chodzi o takie instytucje jak polecenia służbowe, ocena okresowa, opinia służbowa, rozmowa dyscyplinująca. Ich wspólnym mianownikiem jest jednostronny charakter związany z wolą kierownika urzędu przy jednoczesnym pozbawieniu funkcjonariusza możliwości skorzystania ze skutecznych środków zaskarżenia. Trafnym wydaje się więc pogląd, iż stosunek służbowy funkcjonariusza Służby Celno-Skarbowej nie różni się od relacji łączącej ze służbą funkcjonariuszy innych służb mundurowych w szczególności Straży Granicznej i Policji. Pełna dyspozycyjność, zależność od władzy służbowej, trudne, uciążliwe warunki służby, ryzyko utraty zdrowia i życia to tylko niektóre cechy charakterystyczne wynikające z pragmatyk służbowych. </w:t>
      </w:r>
    </w:p>
    <w:p w14:paraId="7A0F376F"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Co istotne już pod rządami ustawy o Służbie Celnej z 1999 r. Trybunał Konstytucyjny w wyroku z dnia 19 października 2004 r. sygn. akt K 1/04 uznał, iż „wymagania w stosunku do funkcjonariuszy celnych są niejednokrotnie wyższe niż w stosunku do funkcjonariuszy innych służb". W świetle wówczas zaprezentowanego stanowiska trafnym było uznanie, iż „emerytura mundurowa" stanowi rekompensatę za poświęcenie funkcjonariuszy na rzecz Państwa. Tym bardziej trudno jest więc również obecnie dostarczyć racjonalnych argumentów przemawiających za pozbawieniem - </w:t>
      </w:r>
      <w:r>
        <w:rPr>
          <w:rFonts w:ascii="Times New Roman" w:hAnsi="Times New Roman"/>
          <w:iCs/>
          <w:sz w:val="24"/>
          <w:szCs w:val="24"/>
        </w:rPr>
        <w:lastRenderedPageBreak/>
        <w:t xml:space="preserve">spośród wszystkich służb mundurowych - jedynie funkcjonariuszy Celno-Skarbowej świadczenia mieszkaniowego. </w:t>
      </w:r>
    </w:p>
    <w:p w14:paraId="34CEA6AB"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76DCC602"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Jeśli nie budzi wątpliwości wymóg równego traktowania funkcjonariuszy służb mundurowych, to dlaczego kolejny raz z uporem, pomimo wyroku Trybunału Konstytucyjnego z dnia 3 marca 2015 r., rząd Rzeczypospolitej Polskiej uporczywie dyskryminuje funkcjonariuszy Służby Celno-Skarbowej w zakresie świadczenia mieszkaniowego?</w:t>
      </w:r>
    </w:p>
    <w:p w14:paraId="0EA53D68"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743169DD" w14:textId="77777777" w:rsidR="00122D90" w:rsidRDefault="004C2B7F">
      <w:pPr>
        <w:suppressAutoHyphens w:val="0"/>
        <w:spacing w:after="0" w:line="276" w:lineRule="auto"/>
        <w:ind w:right="-284"/>
        <w:jc w:val="both"/>
        <w:textAlignment w:val="auto"/>
        <w:rPr>
          <w:rFonts w:ascii="Times New Roman" w:hAnsi="Times New Roman"/>
          <w:b/>
          <w:bCs/>
          <w:sz w:val="24"/>
          <w:szCs w:val="24"/>
        </w:rPr>
      </w:pPr>
      <w:r>
        <w:rPr>
          <w:rFonts w:ascii="Times New Roman" w:hAnsi="Times New Roman"/>
          <w:b/>
          <w:bCs/>
          <w:sz w:val="24"/>
          <w:szCs w:val="24"/>
        </w:rPr>
        <w:t xml:space="preserve">Jest to przejaw nie tylko dyskryminacji, ale braku szacunku do funkcjonariuszy jednej z formacji mundurowych. </w:t>
      </w:r>
    </w:p>
    <w:p w14:paraId="26B72E23"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5C71A917"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Z perspektywy funkcji </w:t>
      </w:r>
      <w:proofErr w:type="gramStart"/>
      <w:r>
        <w:rPr>
          <w:rFonts w:ascii="Times New Roman" w:hAnsi="Times New Roman"/>
          <w:iCs/>
          <w:sz w:val="24"/>
          <w:szCs w:val="24"/>
        </w:rPr>
        <w:t>publicznych  -</w:t>
      </w:r>
      <w:proofErr w:type="gramEnd"/>
      <w:r>
        <w:rPr>
          <w:rFonts w:ascii="Times New Roman" w:hAnsi="Times New Roman"/>
          <w:iCs/>
          <w:sz w:val="24"/>
          <w:szCs w:val="24"/>
        </w:rPr>
        <w:t xml:space="preserve"> zarówno w skalo mikro (krajowej), jak i makro (UE), jakie pełni SCS, nie istnieją żadne racjonalne ani prawne przesłanki do wyłączenia funkcjonariuszy Służby Celno-Skarbowej jako jedynej formacji mundurowej z katalogu formacji mundurowych objętych ustawą w zakresie dodatków mieszkaniowych.</w:t>
      </w:r>
    </w:p>
    <w:p w14:paraId="0F70AFED"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Służba Celno-Skarbowa, zgodnie z ustawą o KAS, jest formacją umundurowaną i uzbrojoną, wykonującą zadania o kluczowym znaczeniu dla bezpieczeństwa finansowego państwa oraz ochrony granic Unii Europejskiej.  </w:t>
      </w:r>
    </w:p>
    <w:p w14:paraId="7119BF08"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Należy przywołać stanowisko organów UE w sprawie znaczenia Służby Celno – Skarbowej. </w:t>
      </w:r>
    </w:p>
    <w:p w14:paraId="03C28EFF" w14:textId="77777777" w:rsidR="00122D90" w:rsidRDefault="004C2B7F">
      <w:pPr>
        <w:suppressAutoHyphens w:val="0"/>
        <w:spacing w:after="0" w:line="276" w:lineRule="auto"/>
        <w:ind w:right="-284"/>
        <w:jc w:val="both"/>
        <w:textAlignment w:val="auto"/>
      </w:pPr>
      <w:r>
        <w:rPr>
          <w:rFonts w:ascii="Times New Roman" w:hAnsi="Times New Roman"/>
          <w:sz w:val="24"/>
          <w:szCs w:val="24"/>
        </w:rPr>
        <w:t xml:space="preserve">Zgodnie z dokumentów UE nr C/2026/1959 </w:t>
      </w:r>
      <w:r>
        <w:rPr>
          <w:rFonts w:ascii="Times New Roman" w:hAnsi="Times New Roman"/>
          <w:sz w:val="24"/>
          <w:szCs w:val="24"/>
        </w:rPr>
        <w:tab/>
        <w:t>28.4.2026 - Opinia Europejskiego Komitetu Ekonomiczno-Społecznego Europejski Komitet Ekonomiczno-</w:t>
      </w:r>
      <w:proofErr w:type="gramStart"/>
      <w:r>
        <w:rPr>
          <w:rFonts w:ascii="Times New Roman" w:hAnsi="Times New Roman"/>
          <w:sz w:val="24"/>
          <w:szCs w:val="24"/>
        </w:rPr>
        <w:t>Społeczny  -</w:t>
      </w:r>
      <w:proofErr w:type="gramEnd"/>
      <w:r>
        <w:rPr>
          <w:rFonts w:ascii="Times New Roman" w:hAnsi="Times New Roman"/>
          <w:sz w:val="24"/>
          <w:szCs w:val="24"/>
        </w:rPr>
        <w:t xml:space="preserve"> Wniosek dotyczący rozporządzenia Parlamentu Europejskiego i Rady ustanawiającego Program na rzecz jednolitego rynku i ceł na lata 2028–2034 oraz uchylającego rozporządzenia (UE) 2021/444</w:t>
      </w:r>
      <w:r>
        <w:rPr>
          <w:rFonts w:ascii="Times New Roman" w:hAnsi="Times New Roman"/>
          <w:sz w:val="24"/>
          <w:szCs w:val="24"/>
          <w:vertAlign w:val="superscript"/>
        </w:rPr>
        <w:footnoteReference w:id="7"/>
      </w:r>
      <w:r>
        <w:rPr>
          <w:rFonts w:ascii="Times New Roman" w:hAnsi="Times New Roman"/>
          <w:sz w:val="24"/>
          <w:szCs w:val="24"/>
        </w:rPr>
        <w:t>,  (UE) 2021/690, (UE) 2021/785, (UE) 2021/847 i (UE) 2021/1077 (</w:t>
      </w:r>
      <w:proofErr w:type="gramStart"/>
      <w:r>
        <w:rPr>
          <w:rFonts w:ascii="Times New Roman" w:hAnsi="Times New Roman"/>
          <w:sz w:val="24"/>
          <w:szCs w:val="24"/>
        </w:rPr>
        <w:t>COM(</w:t>
      </w:r>
      <w:proofErr w:type="gramEnd"/>
      <w:r>
        <w:rPr>
          <w:rFonts w:ascii="Times New Roman" w:hAnsi="Times New Roman"/>
          <w:sz w:val="24"/>
          <w:szCs w:val="24"/>
        </w:rPr>
        <w:t xml:space="preserve">2025) 590 </w:t>
      </w:r>
      <w:proofErr w:type="spellStart"/>
      <w:r>
        <w:rPr>
          <w:rFonts w:ascii="Times New Roman" w:hAnsi="Times New Roman"/>
          <w:sz w:val="24"/>
          <w:szCs w:val="24"/>
        </w:rPr>
        <w:t>final</w:t>
      </w:r>
      <w:proofErr w:type="spellEnd"/>
      <w:r>
        <w:rPr>
          <w:rFonts w:ascii="Times New Roman" w:hAnsi="Times New Roman"/>
          <w:sz w:val="24"/>
          <w:szCs w:val="24"/>
        </w:rPr>
        <w:t xml:space="preserve"> – 2025/0590 (COD)) (C/2026/1959) wskazano, że:</w:t>
      </w:r>
    </w:p>
    <w:p w14:paraId="59F46E21"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sz w:val="20"/>
          <w:szCs w:val="20"/>
        </w:rPr>
        <w:t xml:space="preserve">Biorąc pod uwagę, iż unia celna należy do wyłącznych kompetencji Unii Europejskiej, sądzi, że oprócz tego programu </w:t>
      </w:r>
      <w:r>
        <w:rPr>
          <w:rFonts w:ascii="Times New Roman" w:hAnsi="Times New Roman"/>
          <w:b/>
          <w:bCs/>
          <w:sz w:val="20"/>
          <w:szCs w:val="20"/>
        </w:rPr>
        <w:t>Unia powinna zachęcać państwa członkowskie do zwiększenia kosztów związanych z wzmocnieniem zasobów ludzkich w obszarze celnym oraz na szczeblu służb zajmujących się poborem ceł i podatków</w:t>
      </w:r>
      <w:r>
        <w:rPr>
          <w:rFonts w:ascii="Times New Roman" w:hAnsi="Times New Roman"/>
          <w:sz w:val="20"/>
          <w:szCs w:val="20"/>
        </w:rPr>
        <w:t xml:space="preserve">. W idealnym i hipotetycznym przypadku </w:t>
      </w:r>
      <w:r>
        <w:rPr>
          <w:rFonts w:ascii="Times New Roman" w:hAnsi="Times New Roman"/>
          <w:b/>
          <w:bCs/>
          <w:sz w:val="20"/>
          <w:szCs w:val="20"/>
        </w:rPr>
        <w:t>koszty te</w:t>
      </w:r>
      <w:r>
        <w:rPr>
          <w:rFonts w:ascii="Times New Roman" w:hAnsi="Times New Roman"/>
          <w:sz w:val="20"/>
          <w:szCs w:val="20"/>
        </w:rPr>
        <w:t xml:space="preserve"> powinny być pokrywane z budżetu Unii Europejskiej lub przynajmniej </w:t>
      </w:r>
      <w:r>
        <w:rPr>
          <w:rFonts w:ascii="Times New Roman" w:hAnsi="Times New Roman"/>
          <w:b/>
          <w:bCs/>
          <w:sz w:val="20"/>
          <w:szCs w:val="20"/>
        </w:rPr>
        <w:t xml:space="preserve">nie powinny być brane pod uwagę przy obliczaniu deficytu budżetowego państw </w:t>
      </w:r>
      <w:proofErr w:type="gramStart"/>
      <w:r>
        <w:rPr>
          <w:rFonts w:ascii="Times New Roman" w:hAnsi="Times New Roman"/>
          <w:b/>
          <w:bCs/>
          <w:sz w:val="20"/>
          <w:szCs w:val="20"/>
        </w:rPr>
        <w:t>członkowskich  (</w:t>
      </w:r>
      <w:proofErr w:type="gramEnd"/>
      <w:r>
        <w:rPr>
          <w:rFonts w:ascii="Times New Roman" w:hAnsi="Times New Roman"/>
          <w:b/>
          <w:bCs/>
          <w:sz w:val="20"/>
          <w:szCs w:val="20"/>
        </w:rPr>
        <w:t>pkt 1.8)</w:t>
      </w:r>
    </w:p>
    <w:p w14:paraId="1131C940"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sz w:val="20"/>
          <w:szCs w:val="20"/>
        </w:rPr>
        <w:t>(pkt 1.7) W szczególności wzywa Komisję Europejską, by zachęcała państwa członkowskie do zwiększenia zasobów ludzkich w obszarze celnym i na szczeblu służb podatkowych zajmujących się poborem ceł i podatków, zwłaszcza w państwach członkowskich otrzymujących najwięcej towarów z Azji oraz w odniesieniu do przesyłek wysyłanych za pośrednictwem znajdujących się tam platform cyfrowych.</w:t>
      </w:r>
    </w:p>
    <w:p w14:paraId="3E0246E2"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78663380" w14:textId="6A42D68B"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Nietrafnym jest przy tym takie pojmowanie materii, iż chodzi o objęcie „kolejnej" grupy zawodowej uprzywilejowanym systemem tj. świadczeniami </w:t>
      </w:r>
      <w:proofErr w:type="gramStart"/>
      <w:r>
        <w:rPr>
          <w:rFonts w:ascii="Times New Roman" w:hAnsi="Times New Roman"/>
          <w:iCs/>
          <w:sz w:val="24"/>
          <w:szCs w:val="24"/>
        </w:rPr>
        <w:t>mieszkaniowymi .</w:t>
      </w:r>
      <w:proofErr w:type="gramEnd"/>
      <w:r>
        <w:rPr>
          <w:rFonts w:ascii="Times New Roman" w:hAnsi="Times New Roman"/>
          <w:iCs/>
          <w:sz w:val="24"/>
          <w:szCs w:val="24"/>
        </w:rPr>
        <w:t xml:space="preserve"> Należy raczej uczciwie przyznać, iż celem jest włączenie do tego systemu „ostatniej" służby mundurowej, która w sposób nieuzasadniony została poza nim pozostawiona.  </w:t>
      </w:r>
    </w:p>
    <w:p w14:paraId="03D2A8D2"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lastRenderedPageBreak/>
        <w:t xml:space="preserve">W istocie chodzi o nadrobienie zaległości legislacyjnych Rzeczypospolitej Polskiej. </w:t>
      </w:r>
      <w:proofErr w:type="gramStart"/>
      <w:r>
        <w:rPr>
          <w:rFonts w:ascii="Times New Roman" w:hAnsi="Times New Roman"/>
          <w:iCs/>
          <w:sz w:val="24"/>
          <w:szCs w:val="24"/>
        </w:rPr>
        <w:t>Nie mniej</w:t>
      </w:r>
      <w:proofErr w:type="gramEnd"/>
      <w:r>
        <w:rPr>
          <w:rFonts w:ascii="Times New Roman" w:hAnsi="Times New Roman"/>
          <w:iCs/>
          <w:sz w:val="24"/>
          <w:szCs w:val="24"/>
        </w:rPr>
        <w:t xml:space="preserve"> istotne jest to, iż Sejm X kadencji doprowadził do takiego stanu prawnego i jednocześnie dysponuje niepowtarzalną okazją do: </w:t>
      </w:r>
    </w:p>
    <w:p w14:paraId="43A32262"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w:t>
      </w:r>
      <w:r>
        <w:rPr>
          <w:rFonts w:ascii="Times New Roman" w:hAnsi="Times New Roman"/>
          <w:iCs/>
          <w:sz w:val="24"/>
          <w:szCs w:val="24"/>
        </w:rPr>
        <w:tab/>
        <w:t xml:space="preserve">odbudowy zaufania funkcjonariusza Służby Celno-Skarbowej do Państwa Polskiego </w:t>
      </w:r>
    </w:p>
    <w:p w14:paraId="646AD5E0" w14:textId="0D69B922"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w:t>
      </w:r>
      <w:r>
        <w:rPr>
          <w:rFonts w:ascii="Times New Roman" w:hAnsi="Times New Roman"/>
          <w:iCs/>
          <w:sz w:val="24"/>
          <w:szCs w:val="24"/>
        </w:rPr>
        <w:tab/>
        <w:t>podniesienia prestiżu Służby Celno-Skarbowej oraz uznani</w:t>
      </w:r>
      <w:r w:rsidR="00FF6F57">
        <w:rPr>
          <w:rFonts w:ascii="Times New Roman" w:hAnsi="Times New Roman"/>
          <w:iCs/>
          <w:sz w:val="24"/>
          <w:szCs w:val="24"/>
        </w:rPr>
        <w:t>a</w:t>
      </w:r>
      <w:r>
        <w:rPr>
          <w:rFonts w:ascii="Times New Roman" w:hAnsi="Times New Roman"/>
          <w:iCs/>
          <w:sz w:val="24"/>
          <w:szCs w:val="24"/>
        </w:rPr>
        <w:t xml:space="preserve"> i </w:t>
      </w:r>
      <w:r w:rsidR="00FF6F57">
        <w:rPr>
          <w:rFonts w:ascii="Times New Roman" w:hAnsi="Times New Roman"/>
          <w:iCs/>
          <w:sz w:val="24"/>
          <w:szCs w:val="24"/>
        </w:rPr>
        <w:t xml:space="preserve">podkreślenia </w:t>
      </w:r>
      <w:r>
        <w:rPr>
          <w:rFonts w:ascii="Times New Roman" w:hAnsi="Times New Roman"/>
          <w:iCs/>
          <w:sz w:val="24"/>
          <w:szCs w:val="24"/>
        </w:rPr>
        <w:t>wagi zadań tej formacji na równi z innymi formacjami mundurowymi</w:t>
      </w:r>
      <w:r w:rsidR="00FF6F57">
        <w:rPr>
          <w:rFonts w:ascii="Times New Roman" w:hAnsi="Times New Roman"/>
          <w:iCs/>
          <w:sz w:val="24"/>
          <w:szCs w:val="24"/>
        </w:rPr>
        <w:t xml:space="preserve"> i </w:t>
      </w:r>
      <w:r>
        <w:rPr>
          <w:rFonts w:ascii="Times New Roman" w:hAnsi="Times New Roman"/>
          <w:iCs/>
          <w:sz w:val="24"/>
          <w:szCs w:val="24"/>
        </w:rPr>
        <w:t xml:space="preserve">jako jedynej przynoszącej ok.1/3 środków do budżetu państwa, </w:t>
      </w:r>
    </w:p>
    <w:p w14:paraId="719BEF21"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w:t>
      </w:r>
      <w:r>
        <w:rPr>
          <w:rFonts w:ascii="Times New Roman" w:hAnsi="Times New Roman"/>
          <w:iCs/>
          <w:sz w:val="24"/>
          <w:szCs w:val="24"/>
        </w:rPr>
        <w:tab/>
        <w:t xml:space="preserve">docenienia profesjonalizmu, trudu i poświęcenia z jakim funkcjonariusze celni pełnią odpowiedzialną służbę publiczną. </w:t>
      </w:r>
    </w:p>
    <w:p w14:paraId="0631AF64"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3B22401B" w14:textId="77777777" w:rsidR="00122D90" w:rsidRDefault="004C2B7F">
      <w:pPr>
        <w:suppressAutoHyphens w:val="0"/>
        <w:spacing w:after="0" w:line="276" w:lineRule="auto"/>
        <w:ind w:right="-284"/>
        <w:jc w:val="both"/>
        <w:textAlignment w:val="auto"/>
      </w:pPr>
      <w:r>
        <w:rPr>
          <w:rFonts w:ascii="Times New Roman" w:hAnsi="Times New Roman"/>
          <w:sz w:val="24"/>
          <w:szCs w:val="24"/>
        </w:rPr>
        <w:t xml:space="preserve">Warto zauważyć w tym miejscu, że w odniesieniu do jednej </w:t>
      </w:r>
      <w:proofErr w:type="gramStart"/>
      <w:r>
        <w:rPr>
          <w:rFonts w:ascii="Times New Roman" w:hAnsi="Times New Roman"/>
          <w:sz w:val="24"/>
          <w:szCs w:val="24"/>
        </w:rPr>
        <w:t>z  formacji</w:t>
      </w:r>
      <w:proofErr w:type="gramEnd"/>
      <w:r>
        <w:rPr>
          <w:rFonts w:ascii="Times New Roman" w:hAnsi="Times New Roman"/>
          <w:sz w:val="24"/>
          <w:szCs w:val="24"/>
        </w:rPr>
        <w:t xml:space="preserve"> mundurowych, tj. Straż Marszałkowska, która nie podlega delegowaniu</w:t>
      </w:r>
      <w:r>
        <w:rPr>
          <w:rFonts w:ascii="Times New Roman" w:hAnsi="Times New Roman"/>
          <w:sz w:val="24"/>
          <w:szCs w:val="24"/>
          <w:vertAlign w:val="superscript"/>
        </w:rPr>
        <w:footnoteReference w:id="8"/>
      </w:r>
      <w:r>
        <w:rPr>
          <w:rFonts w:ascii="Times New Roman" w:hAnsi="Times New Roman"/>
          <w:sz w:val="24"/>
          <w:szCs w:val="24"/>
        </w:rPr>
        <w:t xml:space="preserve"> zaplanowano przyznanie świadczenia </w:t>
      </w:r>
      <w:proofErr w:type="gramStart"/>
      <w:r>
        <w:rPr>
          <w:rFonts w:ascii="Times New Roman" w:hAnsi="Times New Roman"/>
          <w:sz w:val="24"/>
          <w:szCs w:val="24"/>
        </w:rPr>
        <w:t>mieszkaniowego  –</w:t>
      </w:r>
      <w:proofErr w:type="gramEnd"/>
      <w:r>
        <w:rPr>
          <w:rFonts w:ascii="Times New Roman" w:hAnsi="Times New Roman"/>
          <w:sz w:val="24"/>
          <w:szCs w:val="24"/>
        </w:rPr>
        <w:t xml:space="preserve"> zmiana do ustawy o SM</w:t>
      </w:r>
      <w:r>
        <w:rPr>
          <w:rFonts w:ascii="Times New Roman" w:hAnsi="Times New Roman"/>
          <w:sz w:val="24"/>
          <w:szCs w:val="24"/>
          <w:vertAlign w:val="superscript"/>
        </w:rPr>
        <w:footnoteReference w:id="9"/>
      </w:r>
      <w:r>
        <w:rPr>
          <w:rFonts w:ascii="Times New Roman" w:hAnsi="Times New Roman"/>
          <w:sz w:val="24"/>
          <w:szCs w:val="24"/>
        </w:rPr>
        <w:t>:</w:t>
      </w:r>
    </w:p>
    <w:p w14:paraId="2C022F2A"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 xml:space="preserve">Art. 81e. 1. Funkcjonariuszowi Straży Marszałkowskiej mianowanemu na okres służby przygotowawczej lub na stałe od dnia przyjęcia do służby do dnia zwolnienia ze służby w Straży Marszałkowskiej przysługuje prawo do zakwaterowania w Warszawie. </w:t>
      </w:r>
    </w:p>
    <w:p w14:paraId="6AD8328D"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sz w:val="20"/>
          <w:szCs w:val="20"/>
        </w:rPr>
        <w:t xml:space="preserve">2. </w:t>
      </w:r>
      <w:r>
        <w:rPr>
          <w:rFonts w:ascii="Times New Roman" w:hAnsi="Times New Roman"/>
          <w:b/>
          <w:bCs/>
          <w:sz w:val="20"/>
          <w:szCs w:val="20"/>
        </w:rPr>
        <w:t>Prawo do zakwaterowania jest realizowane w formie świadczenia mieszkaniowego wynoszącego 1800 zł.</w:t>
      </w:r>
    </w:p>
    <w:p w14:paraId="03183254"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3. Wysokość świadczenia mieszkaniowego podlega corocznej waloryzacji o ustalony w ustawie budżetowej na dany rok średnioroczny wskaźnik wzrostu cen towarów i usług konsumpcyjnych. Podstawę waloryzacji stanowi kwota świadczenia mieszkaniowego   obowiązująca w roku poprzedzającym rok, w którym waloryzacja następuje. Kwotę zwaloryzowanego świadczenia mieszkaniowego zaokrągla się w górę do pełnego złotego.</w:t>
      </w:r>
    </w:p>
    <w:p w14:paraId="524F7198"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4. Świadczenie mieszkaniowe wypłaca się w terminie do 10 dnia każdego miesiąca kalendarzowego za poprzedni miesiąc.</w:t>
      </w:r>
    </w:p>
    <w:p w14:paraId="4CC5AD16"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568DFFCE" w14:textId="77777777" w:rsidR="00122D90" w:rsidRDefault="004C2B7F">
      <w:pPr>
        <w:suppressAutoHyphens w:val="0"/>
        <w:spacing w:after="0" w:line="276" w:lineRule="auto"/>
        <w:ind w:right="-284"/>
        <w:jc w:val="both"/>
        <w:textAlignment w:val="auto"/>
      </w:pPr>
      <w:r>
        <w:rPr>
          <w:rFonts w:ascii="Times New Roman" w:hAnsi="Times New Roman"/>
          <w:sz w:val="24"/>
          <w:szCs w:val="24"/>
        </w:rPr>
        <w:t>Jak czytamy na FB MSWiA: „</w:t>
      </w:r>
      <w:r>
        <w:rPr>
          <w:rFonts w:ascii="Times New Roman" w:hAnsi="Times New Roman"/>
          <w:i/>
          <w:iCs/>
          <w:sz w:val="24"/>
          <w:szCs w:val="24"/>
        </w:rPr>
        <w:t xml:space="preserve">głównym celem autorów projektu było zlikwidowanie luki prawnej i niesprawiedliwości systemowej. Inne służby mundurowe (m.in. Policja, Państwowa Straż Pożarna, Służba Ochrony Państwa czy Straż Graniczna) otrzymały analogiczne pakiety rozwiązań mieszkaniowych w odrębnych, rządowych regulacjach. </w:t>
      </w:r>
      <w:r>
        <w:rPr>
          <w:rFonts w:ascii="Times New Roman" w:hAnsi="Times New Roman"/>
          <w:b/>
          <w:bCs/>
          <w:i/>
          <w:iCs/>
          <w:sz w:val="24"/>
          <w:szCs w:val="24"/>
        </w:rPr>
        <w:t>Pozostawienie formacji chroniącej polski parlament bez tych uprawnień uznano za nieuzasadnioną dyskryminację</w:t>
      </w:r>
      <w:r>
        <w:rPr>
          <w:rFonts w:ascii="Times New Roman" w:hAnsi="Times New Roman"/>
          <w:i/>
          <w:iCs/>
          <w:sz w:val="24"/>
          <w:szCs w:val="24"/>
        </w:rPr>
        <w:t>.”</w:t>
      </w:r>
    </w:p>
    <w:p w14:paraId="209B615F"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Minister MSWiA zauważył w przypadku funkcjonariuszy SM dyskryminację, natomiast SZEF KAS nie widzi dyskryminacji służby, która wykonuje zadania w Jego imieniu.</w:t>
      </w:r>
    </w:p>
    <w:p w14:paraId="03F343B2"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2678B066" w14:textId="77777777" w:rsidR="00122D90" w:rsidRDefault="004C2B7F">
      <w:pPr>
        <w:suppressAutoHyphens w:val="0"/>
        <w:spacing w:after="0" w:line="276" w:lineRule="auto"/>
        <w:ind w:right="-284"/>
        <w:jc w:val="both"/>
        <w:textAlignment w:val="auto"/>
      </w:pPr>
      <w:r>
        <w:rPr>
          <w:rFonts w:ascii="Times New Roman" w:hAnsi="Times New Roman"/>
          <w:sz w:val="24"/>
          <w:szCs w:val="24"/>
        </w:rPr>
        <w:t xml:space="preserve"> </w:t>
      </w:r>
      <w:r>
        <w:rPr>
          <w:rFonts w:ascii="Times New Roman" w:hAnsi="Times New Roman"/>
          <w:color w:val="333333"/>
          <w:sz w:val="24"/>
          <w:szCs w:val="24"/>
          <w:shd w:val="clear" w:color="auto" w:fill="FFFFFF"/>
        </w:rPr>
        <w:t>Z uzasadnienia do ww.  projektu poselskiego czytamy:</w:t>
      </w:r>
    </w:p>
    <w:p w14:paraId="7F13FD63"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i/>
          <w:iCs/>
          <w:sz w:val="20"/>
          <w:szCs w:val="20"/>
        </w:rPr>
        <w:t xml:space="preserve">Z kolei w dodawanym art. 81e określone zostały szczegółowe zasady przyznawania świadczenia mieszkaniowego. Proponuje </w:t>
      </w:r>
      <w:proofErr w:type="gramStart"/>
      <w:r>
        <w:rPr>
          <w:rFonts w:ascii="Times New Roman" w:hAnsi="Times New Roman"/>
          <w:i/>
          <w:iCs/>
          <w:sz w:val="20"/>
          <w:szCs w:val="20"/>
        </w:rPr>
        <w:t>się</w:t>
      </w:r>
      <w:proofErr w:type="gramEnd"/>
      <w:r>
        <w:rPr>
          <w:rFonts w:ascii="Times New Roman" w:hAnsi="Times New Roman"/>
          <w:i/>
          <w:iCs/>
          <w:sz w:val="20"/>
          <w:szCs w:val="20"/>
        </w:rPr>
        <w:t xml:space="preserve"> aby funkcjonariusz Straży Marszałkowskiej otrzymywał świadczenie mieszkaniowe w wysokości 1800 zł., a wysokość świadczenia mieszkaniowego podlegałaby corocznej waloryzacji o ustalony w ustawie budżetowej na dany rok średnioroczny wskaźnik wzrostu cen towarów i usług konsumpcyjnych. Podstawę waloryzacji stanowiłaby kwota świadczenia mieszkaniowego obowiązująca w roku poprzedzającym rok, w którym waloryzacja następuje. Proponuje się również, aby kwota zwaloryzowanego świadczenia mieszkaniowego była zaokrąglana w górę do pełnego złotego. W ocenie projektodawców przedmiotowe świadczenie powinno być powiązane – analogicznie jak w rozporządzeniu Ministra Obrony Narodowej z dnia 6 listopada 2023 r. w sprawie świadcze</w:t>
      </w:r>
      <w:r>
        <w:rPr>
          <w:rFonts w:ascii="Times New Roman" w:hAnsi="Times New Roman"/>
          <w:i/>
          <w:iCs/>
          <w:sz w:val="20"/>
          <w:szCs w:val="20"/>
        </w:rPr>
        <w:lastRenderedPageBreak/>
        <w:t xml:space="preserve">nia mieszkaniowego oraz kosztów utrzymania miejsca zakwaterowania – z miejscem pełnienia służby. Funkcjonariusz Straży Marszałkowskiej, podobnie jak żołnierz, powinien pozostawać dyspozycyjny. W interesie służby publicznej powinno się – w ramach przepisów prawa – wspierać i promować osiedlanie się funkcjonariuszy w miejscowości, w której pełnią służbę. Świadczenie mieszkaniowe wypłacane byłoby w terminie do 10 dnia każdego miesiąca kalendarzowego za poprzedni miesiąc. W przypadku, gdy uprawnienie do świadczenia mieszkaniowego przysługiwałoby funkcjonariuszowi Straży Marszałkowskiej za okres krótszy niż miesiąc kalendarzowy, jego wysokość wynosiłaby 1/30 wymiaru miesięcznego za każdy dzień. Świadczenie mieszkaniowe nie byłoby wypłacane za okres tymczasowego aresztowania albo korzystania z urlopu bezpłatnego. Proponuje </w:t>
      </w:r>
      <w:proofErr w:type="gramStart"/>
      <w:r>
        <w:rPr>
          <w:rFonts w:ascii="Times New Roman" w:hAnsi="Times New Roman"/>
          <w:i/>
          <w:iCs/>
          <w:sz w:val="20"/>
          <w:szCs w:val="20"/>
        </w:rPr>
        <w:t>się</w:t>
      </w:r>
      <w:proofErr w:type="gramEnd"/>
      <w:r>
        <w:rPr>
          <w:rFonts w:ascii="Times New Roman" w:hAnsi="Times New Roman"/>
          <w:i/>
          <w:iCs/>
          <w:sz w:val="20"/>
          <w:szCs w:val="20"/>
        </w:rPr>
        <w:t xml:space="preserve"> aby świadczenie mieszkaniowe było zwolnione z podatku od osób fizycznych</w:t>
      </w:r>
      <w:r>
        <w:rPr>
          <w:rFonts w:ascii="Times New Roman" w:hAnsi="Times New Roman"/>
          <w:b/>
          <w:bCs/>
          <w:i/>
          <w:iCs/>
          <w:sz w:val="20"/>
          <w:szCs w:val="20"/>
        </w:rPr>
        <w:t xml:space="preserve">. Zaproponowane rozwiązania obowiązywać będą w większości formacji mundurowych i dlatego w celu zachowania konkurencyjności powinny zostać wprowadzone również w stosunku do funkcjonariuszy Straży Marszałkowskiej </w:t>
      </w:r>
    </w:p>
    <w:p w14:paraId="3CECB1FB" w14:textId="77777777" w:rsidR="00122D90" w:rsidRDefault="00122D90">
      <w:pPr>
        <w:suppressAutoHyphens w:val="0"/>
        <w:spacing w:after="0" w:line="276" w:lineRule="auto"/>
        <w:ind w:right="-284"/>
        <w:jc w:val="both"/>
        <w:textAlignment w:val="auto"/>
        <w:rPr>
          <w:rFonts w:ascii="Times New Roman" w:hAnsi="Times New Roman"/>
          <w:b/>
          <w:bCs/>
          <w:sz w:val="24"/>
          <w:szCs w:val="24"/>
        </w:rPr>
      </w:pPr>
    </w:p>
    <w:p w14:paraId="5F74BD21" w14:textId="77777777" w:rsidR="00122D90" w:rsidRDefault="004C2B7F">
      <w:pPr>
        <w:suppressAutoHyphens w:val="0"/>
        <w:spacing w:after="0" w:line="276" w:lineRule="auto"/>
        <w:ind w:right="-284"/>
        <w:jc w:val="both"/>
        <w:textAlignment w:val="auto"/>
        <w:rPr>
          <w:rFonts w:ascii="Times New Roman" w:hAnsi="Times New Roman"/>
          <w:b/>
          <w:bCs/>
          <w:sz w:val="24"/>
          <w:szCs w:val="24"/>
        </w:rPr>
      </w:pPr>
      <w:r>
        <w:rPr>
          <w:rFonts w:ascii="Times New Roman" w:hAnsi="Times New Roman"/>
          <w:b/>
          <w:bCs/>
          <w:sz w:val="24"/>
          <w:szCs w:val="24"/>
        </w:rPr>
        <w:t xml:space="preserve">Brak świadczenia mieszkaniowego dla funkcjonariuszy Służby Celno – </w:t>
      </w:r>
      <w:proofErr w:type="gramStart"/>
      <w:r>
        <w:rPr>
          <w:rFonts w:ascii="Times New Roman" w:hAnsi="Times New Roman"/>
          <w:b/>
          <w:bCs/>
          <w:sz w:val="24"/>
          <w:szCs w:val="24"/>
        </w:rPr>
        <w:t>Skarbowej  to</w:t>
      </w:r>
      <w:proofErr w:type="gramEnd"/>
      <w:r>
        <w:rPr>
          <w:rFonts w:ascii="Times New Roman" w:hAnsi="Times New Roman"/>
          <w:b/>
          <w:bCs/>
          <w:sz w:val="24"/>
          <w:szCs w:val="24"/>
        </w:rPr>
        <w:t xml:space="preserve"> przejaw nie tylko dyskryminacji, ale i odpowiedzialności oraz braku szacunku do funkcjonariuszy jednej z formacji mundurowych. </w:t>
      </w:r>
    </w:p>
    <w:p w14:paraId="1C8877C1"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3A66D5A5"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Ponadto funkcjonariusze Służby Celno-Skarbowej w ramach wykonywania swoich obowiązków służbowych wielokrotnie stoją ramię w ramię na pierwszej linii z funkcjonariuszami Policji czy Straży Granicznej, razem realizując zadania w zakresie obronności Państwa, w trudnej przecież sytuacji geopolitycznej, w której znajduje się obecnie Rzeczypospolita Polska. </w:t>
      </w:r>
    </w:p>
    <w:p w14:paraId="161EED11"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3B795BA6"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Pominięcie Służby Celno-Skarbowej w zakresie świadczeń mieszkaniowych, mimo jednoznacznego orzecznictwa, prowadzi do dalszego utrwalania stanu nierówności, a tym samym narusza zasady konstytucyjnego porządku prawnego. Funkcjonariusze Służby Celno-Skarbowej codziennie chronią granice, zwalczają przemyt, przestępstwa skarbowe, oszustwa podatkowe i gospodarcze, dbają o prawidłowy pobór należności publicznych oraz o bezpieczeństwo ekonomiczne państwa. Ich praca ma wymiar nie tylko fiskalny, lecz także strategiczny i obronny – w zakresie ochrony rynku krajowego, zdrowia publicznego i integralności granic UE, na równi z funkcjonariuszami np. Straży Granicznej i Policji. </w:t>
      </w:r>
    </w:p>
    <w:p w14:paraId="39BDCB2B"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 </w:t>
      </w:r>
    </w:p>
    <w:p w14:paraId="4127FE9F"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Kontrole celne na zewnętrznych granicach UE chronią konsumentów przed towarami i produktami, które mogą być niebezpieczne i stanowić zagrożenie życia lub szkodliwe dla zdrowia. Kontrole celne służą także ochronie zwierząt i środowiska naturalnego przez zwalczanie nielegalnego handlu gatunkami zagrożonymi wyginięciem oraz zapobieganie chorobom roślin i zwierząt, realizując tym samym Konwencję CITES. </w:t>
      </w:r>
    </w:p>
    <w:p w14:paraId="365FF6F9"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 </w:t>
      </w:r>
    </w:p>
    <w:p w14:paraId="1A9286CD"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Przy zwalczaniu przestępczości zorganizowanej i terroryzmu, organy celne współpracują z organami policji i służbami imigracyjnymi, INTERPOLEM. Współpraca wskazanych służb realizowana jest m.in. w obszarach dotyczących przeciwdziałaniu nielegalnemu handlowi ludźmi, narkotykami, bronią, nielegalnym obrotem dziełami sztuki i podrabianymi towarami oraz sprawdzają, czy podróżni posiadający duże ilości gotówki nie są zamieszani w proceder prania brudnych pieniędzy, uchylania się od opodatkowania, a nawet finansowania organizacji przestępczych i terrorystycznych. </w:t>
      </w:r>
    </w:p>
    <w:p w14:paraId="024A1FDF"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Służby celne UE zajmują się zwalczaniem oszustw podatkowych i celnych popełnianych przez przedsiębiorstwa i osoby fizyczne, z powodu których kraje UE są pozbawiane niezbędnych dochodów przeznaczanych na wydatki publiczne. </w:t>
      </w:r>
    </w:p>
    <w:p w14:paraId="70B566BB"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lastRenderedPageBreak/>
        <w:t xml:space="preserve"> </w:t>
      </w:r>
    </w:p>
    <w:p w14:paraId="7A330107"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Do realizacji tych strategicznych zadań, niezbędni są perfekcyjnie wyszkoleni, wyposażeni w odpowiedni sprzęt do kontroli oraz dobrze wynagradzani funkcjonariusze.  To przede wszystkim funkcjonariusze Służby Celno-Skarbowej, generują dochody do Budżetu Państwa, w tym z ceł, hazardu i wielu innych należności budżetowych, nielogiczne i pozbawione jakiegokolwiek sensu wydaje się pomijanie właśnie funkcjonariuszy Służby Celno - Skarbowej w zakresie przyznania świadczenia mieszkaniowego, w </w:t>
      </w:r>
      <w:proofErr w:type="gramStart"/>
      <w:r>
        <w:rPr>
          <w:rFonts w:ascii="Times New Roman" w:hAnsi="Times New Roman"/>
          <w:iCs/>
          <w:sz w:val="24"/>
          <w:szCs w:val="24"/>
        </w:rPr>
        <w:t>sytuacji</w:t>
      </w:r>
      <w:proofErr w:type="gramEnd"/>
      <w:r>
        <w:rPr>
          <w:rFonts w:ascii="Times New Roman" w:hAnsi="Times New Roman"/>
          <w:iCs/>
          <w:sz w:val="24"/>
          <w:szCs w:val="24"/>
        </w:rPr>
        <w:t xml:space="preserve"> gdy pozostałe ww. służby będą beneficjentami przedmiotowego świadczenia. </w:t>
      </w:r>
    </w:p>
    <w:p w14:paraId="11BB6C72"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 </w:t>
      </w:r>
    </w:p>
    <w:p w14:paraId="5E3C117A" w14:textId="639E80C0"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Roczny koszt wdrożenia świadczenia mieszkaniowego dla 12 005 etatów funkcjonariuszy Służby Celno-Skarbowej wyniesie w skali jednego roku 179 601 480,00 złotych</w:t>
      </w:r>
      <w:r w:rsidR="001D0586">
        <w:rPr>
          <w:rFonts w:ascii="Times New Roman" w:hAnsi="Times New Roman"/>
          <w:iCs/>
          <w:sz w:val="24"/>
          <w:szCs w:val="24"/>
        </w:rPr>
        <w:t>.</w:t>
      </w:r>
      <w:r>
        <w:rPr>
          <w:rFonts w:ascii="Times New Roman" w:hAnsi="Times New Roman"/>
          <w:iCs/>
          <w:sz w:val="24"/>
          <w:szCs w:val="24"/>
        </w:rPr>
        <w:t xml:space="preserve">  </w:t>
      </w:r>
    </w:p>
    <w:p w14:paraId="41775AC6"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 </w:t>
      </w:r>
    </w:p>
    <w:p w14:paraId="1AE23586" w14:textId="00E4BFBF"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Celem powyższych zmian jest zapewnienie takich warunków służby finansowych oraz mieszkaniowych dla funkcjonariuszy Służby Celno-Skarbowej, aby stały się one znaczącą motywacją do</w:t>
      </w:r>
      <w:r w:rsidR="001D0586">
        <w:rPr>
          <w:rFonts w:ascii="Times New Roman" w:hAnsi="Times New Roman"/>
          <w:iCs/>
          <w:sz w:val="24"/>
          <w:szCs w:val="24"/>
        </w:rPr>
        <w:t> </w:t>
      </w:r>
      <w:r>
        <w:rPr>
          <w:rFonts w:ascii="Times New Roman" w:hAnsi="Times New Roman"/>
          <w:iCs/>
          <w:sz w:val="24"/>
          <w:szCs w:val="24"/>
        </w:rPr>
        <w:t>dalszego pozostawania w służbie oraz w porównaniu do obecnie obowiązujących rozwiązań świadczenie mieszkaniowe będzie stanowiło realne wsparcie finansowe w zakresie zapewnienia funkcjonariuszom zakwaterowania, poprzez wprowadzenie elastycznych rozwiązań, dzięki którym funkcjonariusze będą mieli możliwość dostosowania formy, do swojej sytuacji rodzinnej i</w:t>
      </w:r>
      <w:r w:rsidR="001D0586">
        <w:rPr>
          <w:rFonts w:ascii="Times New Roman" w:hAnsi="Times New Roman"/>
          <w:iCs/>
          <w:sz w:val="24"/>
          <w:szCs w:val="24"/>
        </w:rPr>
        <w:t> </w:t>
      </w:r>
      <w:r>
        <w:rPr>
          <w:rFonts w:ascii="Times New Roman" w:hAnsi="Times New Roman"/>
          <w:iCs/>
          <w:sz w:val="24"/>
          <w:szCs w:val="24"/>
        </w:rPr>
        <w:t xml:space="preserve">mieszkaniowej np. wybór świadczenia mieszkaniowego pomoże w wynajmie mieszkania lub spłacie kredytu hipotecznego. </w:t>
      </w:r>
    </w:p>
    <w:p w14:paraId="732C161D"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Motywacyjny charakter systemu wynagrodzeń w służbach wynikać powinien z możliwości wykorzystania go jako narzędzia do zachęcania odpowiednich kandydatów do służby, utrzymania doświadczonych funkcjonariuszy oraz żołnierzy w służbie oraz kształtowania pożądanych postaw i </w:t>
      </w:r>
      <w:proofErr w:type="spellStart"/>
      <w:r>
        <w:rPr>
          <w:rFonts w:ascii="Times New Roman" w:hAnsi="Times New Roman"/>
          <w:iCs/>
          <w:sz w:val="24"/>
          <w:szCs w:val="24"/>
        </w:rPr>
        <w:t>zachowań</w:t>
      </w:r>
      <w:proofErr w:type="spellEnd"/>
      <w:r>
        <w:rPr>
          <w:rFonts w:ascii="Times New Roman" w:hAnsi="Times New Roman"/>
          <w:iCs/>
          <w:sz w:val="24"/>
          <w:szCs w:val="24"/>
        </w:rPr>
        <w:t>.</w:t>
      </w:r>
    </w:p>
    <w:p w14:paraId="7D595ED4"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 </w:t>
      </w:r>
    </w:p>
    <w:p w14:paraId="6897D470"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Na podstawie szacunkowych danych za 2024 rok, Krajowa Administracja Skarbowa (KAS), w skład której wchodzi Służba Celno-Skarbowa (12 005 etatów funkcjonariuszy Służby Celno-Skarbowej), odpowiada za zdecydowaną większość dochodów budżetu państwa w wysokości 381,30 mld zł. przy łącznym dochodzie budżetu państwa w 2024 roku (w tym środki unijne) ok. 677 mld zł.  </w:t>
      </w:r>
    </w:p>
    <w:p w14:paraId="23BDBC68"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 </w:t>
      </w:r>
    </w:p>
    <w:p w14:paraId="40F1B4F4"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Objecie funkcjonariuszy Służby Celno-Skarbowej świadczeniem mieszkaniowym stanowić będzie w skali całego </w:t>
      </w:r>
      <w:proofErr w:type="gramStart"/>
      <w:r>
        <w:rPr>
          <w:rFonts w:ascii="Times New Roman" w:hAnsi="Times New Roman"/>
          <w:iCs/>
          <w:sz w:val="24"/>
          <w:szCs w:val="24"/>
        </w:rPr>
        <w:t>roku  179</w:t>
      </w:r>
      <w:proofErr w:type="gramEnd"/>
      <w:r>
        <w:rPr>
          <w:rFonts w:ascii="Times New Roman" w:hAnsi="Times New Roman"/>
          <w:iCs/>
          <w:sz w:val="24"/>
          <w:szCs w:val="24"/>
        </w:rPr>
        <w:t xml:space="preserve"> 601 480 zł., co stanowi niecałe 0,18% jednego miliarda, w stosunku do generowanych środków przez funkcjonariuszy Służby Celno-Skarbowej do budżetu państwa i UE w wysokości 381,30 mld zł.   </w:t>
      </w:r>
    </w:p>
    <w:p w14:paraId="13B7BFF2"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 </w:t>
      </w:r>
    </w:p>
    <w:p w14:paraId="0B4B6F73" w14:textId="322A6340"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W odpowiedzi Ministra Finansów i Gospodarki z dnia 11 lutego 2026 r. na interpelację poselską nr 14802 z dnia 27 stycznia 2026 r. w sprawie pominięcia funkcjonariuszy Służby Celno-Skarbowej w regulacjach dotyczących świadczeń mieszkaniowych, obejmujących funkcjonariuszy podległych ministrowi spraw wewnętrznych i administracji, ministrowi sprawiedliwości, a także funkcjonariuszy Straży Marszałkowskiej, informuje Marszałka Sejmu Rzeczypospolitej Polskiej, wskazano, że jednym z powodów braku objęcia świadczeniem mieszkaniowym Funkcjonariuszy </w:t>
      </w:r>
      <w:r>
        <w:rPr>
          <w:rFonts w:ascii="Times New Roman" w:hAnsi="Times New Roman"/>
          <w:iCs/>
          <w:sz w:val="24"/>
          <w:szCs w:val="24"/>
        </w:rPr>
        <w:lastRenderedPageBreak/>
        <w:t>Słu</w:t>
      </w:r>
      <w:r w:rsidR="001D0586">
        <w:rPr>
          <w:rFonts w:ascii="Times New Roman" w:hAnsi="Times New Roman"/>
          <w:iCs/>
          <w:sz w:val="24"/>
          <w:szCs w:val="24"/>
        </w:rPr>
        <w:t>ż</w:t>
      </w:r>
      <w:r>
        <w:rPr>
          <w:rFonts w:ascii="Times New Roman" w:hAnsi="Times New Roman"/>
          <w:iCs/>
          <w:sz w:val="24"/>
          <w:szCs w:val="24"/>
        </w:rPr>
        <w:t xml:space="preserve">by – Celno Skarbowej jest objęcie Polski – zgodnie z decyzją Rady Unii Europejskiej -  procedurą nadmiernego deficytu i rząd jest obowiązany do przedstawienia realnych działań mających na celu ograniczenie wydatków budżetowych. </w:t>
      </w:r>
    </w:p>
    <w:p w14:paraId="67FF3BA8"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Ale pomimo objęcia Polski procedurą nadmiernego deficytu w czerwcu 2024 r., wprowadzono w 2025 roku, z mocą wsteczną od 1 lipca 2025 roku, świadczenia mieszkaniowe dla funkcjonariuszy wszystkich służb mundurowych oprócz Służby Celno – Skarbowej: </w:t>
      </w:r>
    </w:p>
    <w:p w14:paraId="45A094AA"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1)</w:t>
      </w:r>
      <w:r>
        <w:rPr>
          <w:rFonts w:ascii="Times New Roman" w:hAnsi="Times New Roman"/>
          <w:iCs/>
          <w:sz w:val="24"/>
          <w:szCs w:val="24"/>
        </w:rPr>
        <w:tab/>
        <w:t xml:space="preserve">ustawą z dnia 12 września 2025 r. o zmianie niektórych ustaw w związku z określeniem zasad zakwaterowania funkcjonariuszy Policji, Straży Granicznej, Państwowej Straży Pożarnej, Agencji Bezpieczeństwa Wewnętrznego, Agencji Wywiadu, Służby Kontrwywiadu Wojskowego, Służby Wywiadu Wojskowego, Służby Ochrony </w:t>
      </w:r>
      <w:proofErr w:type="gramStart"/>
      <w:r>
        <w:rPr>
          <w:rFonts w:ascii="Times New Roman" w:hAnsi="Times New Roman"/>
          <w:iCs/>
          <w:sz w:val="24"/>
          <w:szCs w:val="24"/>
        </w:rPr>
        <w:t>Państwa  oraz</w:t>
      </w:r>
      <w:proofErr w:type="gramEnd"/>
      <w:r>
        <w:rPr>
          <w:rFonts w:ascii="Times New Roman" w:hAnsi="Times New Roman"/>
          <w:iCs/>
          <w:sz w:val="24"/>
          <w:szCs w:val="24"/>
        </w:rPr>
        <w:t xml:space="preserve"> poprawy niektórych warunków pełnienia służby (Dz.U. z 2025 r. poz. 1366); </w:t>
      </w:r>
    </w:p>
    <w:p w14:paraId="3C742888"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2)</w:t>
      </w:r>
      <w:r>
        <w:rPr>
          <w:rFonts w:ascii="Times New Roman" w:hAnsi="Times New Roman"/>
          <w:iCs/>
          <w:sz w:val="24"/>
          <w:szCs w:val="24"/>
        </w:rPr>
        <w:tab/>
        <w:t xml:space="preserve">ustawą o zmianie ustawy o Służbie Więziennej oraz niektórych innych ustaw z dnia 21 listopada 2025 r. (Dz.U. z 2025 r. poz. 1823); </w:t>
      </w:r>
    </w:p>
    <w:p w14:paraId="4F43BD07"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Według danych MSWiA i formacji podległych, w Polsce służbę pełni obecnie ok. 140–150 tysięcy funkcjonariuszy, z czego najwięcej w Policji – ponad 97 tys., w Państwowej Straży Pożarnej – ok. 30 tys., a w Straży Granicznej – blisko 16 tys. Wliczając służby specjalne (ABW, AW, SKW, SWW oraz SOP), łączna liczba mundurowych objęta świadczeniami mieszkaniowymi to ok.  200 tys. osób. </w:t>
      </w:r>
    </w:p>
    <w:p w14:paraId="74B7844A"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Zaplanowano również </w:t>
      </w:r>
      <w:proofErr w:type="gramStart"/>
      <w:r>
        <w:rPr>
          <w:rFonts w:ascii="Times New Roman" w:hAnsi="Times New Roman"/>
          <w:iCs/>
          <w:sz w:val="24"/>
          <w:szCs w:val="24"/>
        </w:rPr>
        <w:t>w  budżecie</w:t>
      </w:r>
      <w:proofErr w:type="gramEnd"/>
      <w:r>
        <w:rPr>
          <w:rFonts w:ascii="Times New Roman" w:hAnsi="Times New Roman"/>
          <w:iCs/>
          <w:sz w:val="24"/>
          <w:szCs w:val="24"/>
        </w:rPr>
        <w:t xml:space="preserve">  na 2026 r. wydatki na dodatkowe świadczenia dla funkcjonariuszy Straży Marszałkowskiej, słusznie wskazując w uzasadnieniu: </w:t>
      </w:r>
    </w:p>
    <w:p w14:paraId="3F5B076A"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iCs/>
          <w:sz w:val="24"/>
          <w:szCs w:val="24"/>
        </w:rPr>
        <w:t xml:space="preserve">„… </w:t>
      </w:r>
      <w:r>
        <w:rPr>
          <w:rFonts w:ascii="Times New Roman" w:hAnsi="Times New Roman"/>
          <w:iCs/>
          <w:sz w:val="20"/>
          <w:szCs w:val="20"/>
        </w:rPr>
        <w:t>Chcemy jak najbardziej ujednolicić różnego rodzaju dodatki, które są w innych służbach, żeby pojawiły się w Straży Marszałkowskiej, ich dzisiaj nie ma” – powiedział poseł Jacek Cichocki. Dodał, że chodzi m.in. o dodatek mieszkaniowy, czy dodatek dotyczący urlopów. Szef sejmowej kancelarii uzasadniał, że chodzi o to, aby funkcjonariusze Staży Marszałkowskiej nie przechodzili do innych służb, w których takie dodatki już są.”</w:t>
      </w:r>
    </w:p>
    <w:p w14:paraId="22384327" w14:textId="77777777" w:rsidR="00122D90" w:rsidRDefault="004C2B7F">
      <w:pPr>
        <w:suppressAutoHyphens w:val="0"/>
        <w:spacing w:after="0" w:line="276" w:lineRule="auto"/>
        <w:ind w:right="-284"/>
        <w:jc w:val="both"/>
        <w:textAlignment w:val="auto"/>
      </w:pPr>
      <w:r>
        <w:rPr>
          <w:rFonts w:ascii="Times New Roman" w:hAnsi="Times New Roman"/>
          <w:iCs/>
          <w:sz w:val="24"/>
          <w:szCs w:val="24"/>
        </w:rPr>
        <w:t>Ponadto jak wskazano w jednym z dokumentów organów UE</w:t>
      </w:r>
      <w:r>
        <w:rPr>
          <w:rFonts w:ascii="Times New Roman" w:hAnsi="Times New Roman"/>
          <w:iCs/>
          <w:sz w:val="24"/>
          <w:szCs w:val="24"/>
          <w:vertAlign w:val="superscript"/>
        </w:rPr>
        <w:footnoteReference w:id="10"/>
      </w:r>
      <w:r>
        <w:rPr>
          <w:rFonts w:ascii="Times New Roman" w:hAnsi="Times New Roman"/>
          <w:iCs/>
          <w:sz w:val="24"/>
          <w:szCs w:val="24"/>
        </w:rPr>
        <w:t xml:space="preserve"> z kwietnia 2026 r.  -  </w:t>
      </w:r>
      <w:r>
        <w:rPr>
          <w:rFonts w:ascii="Times New Roman" w:hAnsi="Times New Roman"/>
          <w:sz w:val="24"/>
          <w:szCs w:val="24"/>
        </w:rPr>
        <w:t xml:space="preserve">koszty wzmocnienia potencjału ludzkiego w służbie </w:t>
      </w:r>
      <w:proofErr w:type="gramStart"/>
      <w:r>
        <w:rPr>
          <w:rFonts w:ascii="Times New Roman" w:hAnsi="Times New Roman"/>
          <w:sz w:val="24"/>
          <w:szCs w:val="24"/>
        </w:rPr>
        <w:t>celnej  powinny</w:t>
      </w:r>
      <w:proofErr w:type="gramEnd"/>
      <w:r>
        <w:rPr>
          <w:rFonts w:ascii="Times New Roman" w:hAnsi="Times New Roman"/>
          <w:sz w:val="24"/>
          <w:szCs w:val="24"/>
        </w:rPr>
        <w:t xml:space="preserve"> być pokrywane z budżetu Unii Europejskiej lub przynajmniej </w:t>
      </w:r>
      <w:r>
        <w:rPr>
          <w:rFonts w:ascii="Times New Roman" w:hAnsi="Times New Roman"/>
          <w:b/>
          <w:bCs/>
          <w:sz w:val="24"/>
          <w:szCs w:val="24"/>
        </w:rPr>
        <w:t xml:space="preserve">nie powinny być brane pod uwagę przy obliczaniu deficytu budżetowego państw </w:t>
      </w:r>
      <w:proofErr w:type="gramStart"/>
      <w:r>
        <w:rPr>
          <w:rFonts w:ascii="Times New Roman" w:hAnsi="Times New Roman"/>
          <w:b/>
          <w:bCs/>
          <w:sz w:val="24"/>
          <w:szCs w:val="24"/>
        </w:rPr>
        <w:t>członkowskich</w:t>
      </w:r>
      <w:r>
        <w:rPr>
          <w:rFonts w:ascii="Times New Roman" w:hAnsi="Times New Roman"/>
          <w:sz w:val="24"/>
          <w:szCs w:val="24"/>
        </w:rPr>
        <w:t xml:space="preserve">  -</w:t>
      </w:r>
      <w:proofErr w:type="gramEnd"/>
      <w:r>
        <w:rPr>
          <w:rFonts w:ascii="Times New Roman" w:hAnsi="Times New Roman"/>
          <w:sz w:val="24"/>
          <w:szCs w:val="24"/>
        </w:rPr>
        <w:t xml:space="preserve"> vide pkt 1.8.</w:t>
      </w:r>
    </w:p>
    <w:p w14:paraId="6374FA3F"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19B11CE1"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Świadczenia mieszkaniowe to de facto wydatki na obronność, a funkcjonariusze wszystkich służb (Policja, Straż Graniczna, Służba Więzienna, Służba Ochrony Państwa, Straż Pożarna, Służba Celno-Skarbowa, ABW, AW), w tym Służby Celno – Skarbowej – zgodnie z ustawą o obronie Ojczyzny w trakcie mobilizacji i w czasie wojny podlegają militaryzacji i wykonują swoje zadania na rzecz bezpieczeństwa państwa, ale w zaostrzonym rygorze, to nie ma żadnych podstaw do dyskryminowania funkcjonariuszy SCS. </w:t>
      </w:r>
    </w:p>
    <w:p w14:paraId="3AAD9CFC" w14:textId="77777777" w:rsidR="00122D90" w:rsidRDefault="004C2B7F">
      <w:pPr>
        <w:suppressAutoHyphens w:val="0"/>
        <w:spacing w:after="0" w:line="276" w:lineRule="auto"/>
        <w:ind w:right="-284"/>
        <w:jc w:val="both"/>
        <w:textAlignment w:val="auto"/>
        <w:rPr>
          <w:rFonts w:ascii="Times New Roman" w:hAnsi="Times New Roman"/>
          <w:iCs/>
          <w:sz w:val="24"/>
          <w:szCs w:val="24"/>
        </w:rPr>
      </w:pPr>
      <w:r>
        <w:rPr>
          <w:rFonts w:ascii="Times New Roman" w:hAnsi="Times New Roman"/>
          <w:iCs/>
          <w:sz w:val="24"/>
          <w:szCs w:val="24"/>
        </w:rPr>
        <w:t xml:space="preserve">Skoro zatem funkcjonariusze Służby Celno – Skarbowej wykonują zarówno w czasie pokoju, jak i wojny zadania w zakresie obronności kraju, to nie ma żadnych racjonalnych argumentów o nieprzyznaniu funkcjonariuszom Służby Celno – Skarbowej świadczenia mieszkaniowego – </w:t>
      </w:r>
      <w:r>
        <w:rPr>
          <w:rFonts w:ascii="Times New Roman" w:hAnsi="Times New Roman"/>
          <w:iCs/>
          <w:sz w:val="24"/>
          <w:szCs w:val="24"/>
        </w:rPr>
        <w:lastRenderedPageBreak/>
        <w:t xml:space="preserve">analogicznie jak </w:t>
      </w:r>
      <w:proofErr w:type="gramStart"/>
      <w:r>
        <w:rPr>
          <w:rFonts w:ascii="Times New Roman" w:hAnsi="Times New Roman"/>
          <w:iCs/>
          <w:sz w:val="24"/>
          <w:szCs w:val="24"/>
        </w:rPr>
        <w:t>we  wszystkich</w:t>
      </w:r>
      <w:proofErr w:type="gramEnd"/>
      <w:r>
        <w:rPr>
          <w:rFonts w:ascii="Times New Roman" w:hAnsi="Times New Roman"/>
          <w:iCs/>
          <w:sz w:val="24"/>
          <w:szCs w:val="24"/>
        </w:rPr>
        <w:t xml:space="preserve"> pozostałych służbach odpowiedzialnych za szeroko rozumiane bezpieczeństwo państwa w wielu obszarach. </w:t>
      </w:r>
    </w:p>
    <w:p w14:paraId="316C40B2"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w:t>
      </w:r>
    </w:p>
    <w:p w14:paraId="20FABBA4" w14:textId="77777777" w:rsidR="00122D90" w:rsidRDefault="004C2B7F">
      <w:pPr>
        <w:shd w:val="clear" w:color="auto" w:fill="FFFFFF"/>
        <w:suppressAutoHyphens w:val="0"/>
        <w:spacing w:after="0" w:line="276" w:lineRule="auto"/>
        <w:ind w:right="-284"/>
        <w:contextualSpacing/>
        <w:jc w:val="both"/>
        <w:textAlignment w:val="auto"/>
        <w:rPr>
          <w:rFonts w:ascii="Times New Roman" w:hAnsi="Times New Roman"/>
          <w:sz w:val="24"/>
          <w:szCs w:val="24"/>
        </w:rPr>
      </w:pPr>
      <w:r>
        <w:rPr>
          <w:rFonts w:ascii="Times New Roman" w:hAnsi="Times New Roman"/>
          <w:sz w:val="24"/>
          <w:szCs w:val="24"/>
        </w:rPr>
        <w:t xml:space="preserve">Zadania celne wykonywane na granicy RP można uznać za komplementarne z zadaniami wykonywanymi przez Straż </w:t>
      </w:r>
      <w:proofErr w:type="gramStart"/>
      <w:r>
        <w:rPr>
          <w:rFonts w:ascii="Times New Roman" w:hAnsi="Times New Roman"/>
          <w:sz w:val="24"/>
          <w:szCs w:val="24"/>
        </w:rPr>
        <w:t>Graniczną,  bowiem</w:t>
      </w:r>
      <w:proofErr w:type="gramEnd"/>
      <w:r>
        <w:rPr>
          <w:rFonts w:ascii="Times New Roman" w:hAnsi="Times New Roman"/>
          <w:sz w:val="24"/>
          <w:szCs w:val="24"/>
        </w:rPr>
        <w:t xml:space="preserve"> obie służby dbają o ochronę granicy w dwóch różnych </w:t>
      </w:r>
      <w:proofErr w:type="gramStart"/>
      <w:r>
        <w:rPr>
          <w:rFonts w:ascii="Times New Roman" w:hAnsi="Times New Roman"/>
          <w:sz w:val="24"/>
          <w:szCs w:val="24"/>
        </w:rPr>
        <w:t>aspektach:  osobowych</w:t>
      </w:r>
      <w:proofErr w:type="gramEnd"/>
      <w:r>
        <w:rPr>
          <w:rFonts w:ascii="Times New Roman" w:hAnsi="Times New Roman"/>
          <w:sz w:val="24"/>
          <w:szCs w:val="24"/>
        </w:rPr>
        <w:t xml:space="preserve"> i towarowych. </w:t>
      </w:r>
    </w:p>
    <w:p w14:paraId="4DFD4749" w14:textId="77777777" w:rsidR="00122D90" w:rsidRDefault="004C2B7F">
      <w:pPr>
        <w:shd w:val="clear" w:color="auto" w:fill="FFFFFF"/>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W przypadku działań wykonywanych przez funkcjonariuszy Służby Celno – Skarbowej na terenie kraju działania te są działaniami wspólnymi dla ww. formacji oraz Policji (przede wszystkim zwalczanie przestępczości gospodarczej). </w:t>
      </w:r>
    </w:p>
    <w:p w14:paraId="08A4AB04"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Zgodnie z rekomendacjami UE należy wzmocnić zasoby ludzkie w obszarze celnym i dlatego należy wprowadzać rozwiązania, które obowiązują m. in. w Straży Granicznej czy Policji w celu zachowania konkurencyjności dla pełnienia służby w SCS.</w:t>
      </w:r>
    </w:p>
    <w:p w14:paraId="304176B8"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5A744882"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Wprowadzenie świadczenia mieszkaniowego w Straży </w:t>
      </w:r>
      <w:proofErr w:type="gramStart"/>
      <w:r>
        <w:rPr>
          <w:rFonts w:ascii="Times New Roman" w:hAnsi="Times New Roman"/>
          <w:sz w:val="24"/>
          <w:szCs w:val="24"/>
        </w:rPr>
        <w:t>Granicznej  i</w:t>
      </w:r>
      <w:proofErr w:type="gramEnd"/>
      <w:r>
        <w:rPr>
          <w:rFonts w:ascii="Times New Roman" w:hAnsi="Times New Roman"/>
          <w:sz w:val="24"/>
          <w:szCs w:val="24"/>
        </w:rPr>
        <w:t xml:space="preserve"> Policji, a pominięcie przy nadaniu świadczenia FSCS może doprowadzić do odpływu wyszkolonych i być może najlepszych FSCS do ww. formacji, bowiem jest to możliwe na podstawie art. 31a ustawy o SG - przeniesienie do służby w Straży Graniczne:</w:t>
      </w:r>
    </w:p>
    <w:p w14:paraId="3A0E90FF"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sz w:val="20"/>
          <w:szCs w:val="20"/>
        </w:rPr>
        <w:t xml:space="preserve">Funkcjonariusz Policji, Straży Marszałkowskiej, Służby Ochrony Państwa, </w:t>
      </w:r>
      <w:r>
        <w:rPr>
          <w:rFonts w:ascii="Times New Roman" w:hAnsi="Times New Roman"/>
          <w:b/>
          <w:bCs/>
          <w:sz w:val="20"/>
          <w:szCs w:val="20"/>
        </w:rPr>
        <w:t>Służby Celno-Skarbowej</w:t>
      </w:r>
      <w:r>
        <w:rPr>
          <w:rFonts w:ascii="Times New Roman" w:hAnsi="Times New Roman"/>
          <w:sz w:val="20"/>
          <w:szCs w:val="20"/>
        </w:rPr>
        <w:t>, Państwowej Straży Pożarnej, Agencji Bezpieczeństwa Wewnętrznego, Agencji Wywiadu, Służby Wywiadu Wojskowego, Służby Kontrwywiadu Wojskowego lub Centralnego Biura Antykorupcyjnego może być na własną prośbę przeniesiony do służby w Straży Granicznej, jeżeli wykazuje on szczególne predyspozycje do jej pełnienia.</w:t>
      </w:r>
    </w:p>
    <w:p w14:paraId="5BDD6472"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3. Funkcjonariusz Policji, Straży Marszałkowskiej, Służby Ochrony Państwa, Służby Celno-Skarbowej, Państwowej Straży Pożarnej, Agencji Bezpieczeństwa Wewnętrznego, Agencji Wywiadu, Służby Wywiadu Wojskowego, Służby Kontrwywiadu Wojskowego lub Centralnego Biura Antykorupcyjnego przeniesiony do służby w Straży Granicznej zachowuje ciągłość służby;</w:t>
      </w:r>
    </w:p>
    <w:p w14:paraId="57635323"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oraz </w:t>
      </w:r>
    </w:p>
    <w:p w14:paraId="18794ADF"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art.  25</w:t>
      </w:r>
      <w:proofErr w:type="gramStart"/>
      <w:r>
        <w:rPr>
          <w:rFonts w:ascii="Times New Roman" w:hAnsi="Times New Roman"/>
          <w:sz w:val="24"/>
          <w:szCs w:val="24"/>
        </w:rPr>
        <w:t>a  ustawy</w:t>
      </w:r>
      <w:proofErr w:type="gramEnd"/>
      <w:r>
        <w:rPr>
          <w:rFonts w:ascii="Times New Roman" w:hAnsi="Times New Roman"/>
          <w:sz w:val="24"/>
          <w:szCs w:val="24"/>
        </w:rPr>
        <w:t xml:space="preserve"> o Policji - przeniesienie do służby w Policji:</w:t>
      </w:r>
    </w:p>
    <w:p w14:paraId="003A08BC"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1. Funkcjonariusz Straży Granicznej, Straży Marszałkowskiej, Służby Ochrony Państwa, Służby Celno-Skarbowej, Państwowej Straży Pożarnej, Agencji Bezpieczeństwa Wewnętrznego, Agencji Wywiadu, Służby Wywiadu Wojskowego, Służby Kontrwywiadu Wojskowego lub Centralnego Biura Antykorupcyjnego może być na własną prośbę przeniesiony do służby w Policji, jeżeli wykazuje on szczególne predyspozycje do jej pełnienia.</w:t>
      </w:r>
    </w:p>
    <w:p w14:paraId="4D6DBEDB"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3. Funkcjonariusz Straży Granicznej, Straży Marszałkowskiej, Służby Ochrony Państwa, Służby Celno-Skarbowej, Państwowej Straży Pożarnej, Agencji Bezpieczeństwa Wewnętrznego, Agencji Wywiadu, Służby Wywiadu Wojskowego, Służby Kontrwywiadu Wojskowego lub Centralnego Biura Antykorupcyjnego przeniesiony do służby w Policji zachowuje ciągłość służby.</w:t>
      </w:r>
    </w:p>
    <w:p w14:paraId="063FB7FF"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Już zarysowuje się tendencja przechodzenia po zakończeniu służby przygotowawczej w SCS do Policji, w szczególności wśród młodych funkcjonariuszy, a trend ten nie pozwoli na „odmłodzenie” SCS, zatem aprobowanie tego stanu rzeczy przez Szefa KAS przeczy rekomendacjom UE oraz prowadzeniu racjonalnej polityki kadrowej.</w:t>
      </w:r>
    </w:p>
    <w:p w14:paraId="55826ABB" w14:textId="77777777" w:rsidR="00122D90" w:rsidRDefault="004C2B7F">
      <w:pPr>
        <w:suppressAutoHyphens w:val="0"/>
        <w:spacing w:after="0" w:line="276" w:lineRule="auto"/>
        <w:ind w:right="-284"/>
        <w:jc w:val="both"/>
        <w:textAlignment w:val="auto"/>
      </w:pPr>
      <w:r>
        <w:rPr>
          <w:rFonts w:ascii="Times New Roman" w:hAnsi="Times New Roman"/>
          <w:sz w:val="24"/>
          <w:szCs w:val="24"/>
        </w:rPr>
        <w:t>Ponadto, w przypadku braku przyznania świadczenia mieszkaniowego FSCS zapis w art.  176 ustawy o KAS</w:t>
      </w:r>
      <w:r>
        <w:rPr>
          <w:rFonts w:ascii="Times New Roman" w:hAnsi="Times New Roman"/>
          <w:sz w:val="24"/>
          <w:szCs w:val="24"/>
          <w:vertAlign w:val="superscript"/>
        </w:rPr>
        <w:footnoteReference w:id="11"/>
      </w:r>
      <w:r>
        <w:rPr>
          <w:rFonts w:ascii="Times New Roman" w:hAnsi="Times New Roman"/>
          <w:sz w:val="24"/>
          <w:szCs w:val="24"/>
        </w:rPr>
        <w:t xml:space="preserve"> - przeniesienie do służby w Służbie Celno-Skarbowej funkcjonariusza Policji, Agencji Bezpieczeństwa Wewnętrznego, Agencji Wywiadu, Służby Wywiadu Wojskowego, Służby Kontrwywiadu Wojskowego, Centralnego Biura Antykorupcyjnego, Straży Granicznej </w:t>
      </w:r>
      <w:r>
        <w:rPr>
          <w:rFonts w:ascii="Times New Roman" w:hAnsi="Times New Roman"/>
          <w:sz w:val="24"/>
          <w:szCs w:val="24"/>
        </w:rPr>
        <w:lastRenderedPageBreak/>
        <w:t xml:space="preserve">albo Służby Ochrony Państwa – może stać się dzięki Pana niefortunnej i mało perspektywicznej </w:t>
      </w:r>
      <w:proofErr w:type="gramStart"/>
      <w:r>
        <w:rPr>
          <w:rFonts w:ascii="Times New Roman" w:hAnsi="Times New Roman"/>
          <w:sz w:val="24"/>
          <w:szCs w:val="24"/>
        </w:rPr>
        <w:t>decyzji  martwym</w:t>
      </w:r>
      <w:proofErr w:type="gramEnd"/>
      <w:r>
        <w:rPr>
          <w:rFonts w:ascii="Times New Roman" w:hAnsi="Times New Roman"/>
          <w:sz w:val="24"/>
          <w:szCs w:val="24"/>
        </w:rPr>
        <w:t xml:space="preserve"> przepisem, pozbawiając SCS wzmocnienia i rozwoju:</w:t>
      </w:r>
    </w:p>
    <w:p w14:paraId="07457183"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1. Do służby w Służbie Celno-Skarbowej może być na własną prośbę przeniesiony funkcjonariusz Policji, Agencji Bezpieczeństwa Wewnętrznego, Agencji Wywiadu, Służby Wywiadu Wojskowego, Służby Kontrwywiadu Wojskowego, Centralnego Biura Antykorupcyjnego, Straży Granicznej albo Służby Ochrony Państwa, jeżeli ma on kwalifikacje szczególnie przydatne do jej pełnienia.</w:t>
      </w:r>
    </w:p>
    <w:p w14:paraId="0E205F72" w14:textId="77777777" w:rsidR="00122D90" w:rsidRDefault="00122D90">
      <w:pPr>
        <w:suppressAutoHyphens w:val="0"/>
        <w:spacing w:after="0" w:line="276" w:lineRule="auto"/>
        <w:ind w:right="-284"/>
        <w:jc w:val="both"/>
        <w:textAlignment w:val="auto"/>
        <w:rPr>
          <w:rFonts w:ascii="Times New Roman" w:hAnsi="Times New Roman"/>
          <w:iCs/>
          <w:sz w:val="24"/>
          <w:szCs w:val="24"/>
        </w:rPr>
      </w:pPr>
    </w:p>
    <w:p w14:paraId="0AFA5C61"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41B69F0C" w14:textId="77777777" w:rsidR="00122D90" w:rsidRDefault="004C2B7F">
      <w:pPr>
        <w:suppressAutoHyphens w:val="0"/>
        <w:spacing w:after="0" w:line="276" w:lineRule="auto"/>
        <w:ind w:right="-284"/>
        <w:jc w:val="both"/>
        <w:textAlignment w:val="auto"/>
        <w:rPr>
          <w:rFonts w:ascii="Times New Roman" w:hAnsi="Times New Roman"/>
          <w:b/>
          <w:bCs/>
          <w:sz w:val="24"/>
          <w:szCs w:val="24"/>
        </w:rPr>
      </w:pPr>
      <w:r>
        <w:rPr>
          <w:rFonts w:ascii="Times New Roman" w:hAnsi="Times New Roman"/>
          <w:b/>
          <w:bCs/>
          <w:sz w:val="24"/>
          <w:szCs w:val="24"/>
        </w:rPr>
        <w:t>Konkluzja</w:t>
      </w:r>
    </w:p>
    <w:p w14:paraId="160076D7"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Wobec powyższego poprzez per analogiam, w przypadku świadczenia mieszkaniowego, które zostało przyznane służbom MSWiA w </w:t>
      </w:r>
      <w:proofErr w:type="gramStart"/>
      <w:r>
        <w:rPr>
          <w:rFonts w:ascii="Times New Roman" w:hAnsi="Times New Roman"/>
          <w:sz w:val="24"/>
          <w:szCs w:val="24"/>
        </w:rPr>
        <w:t>celu  wprowadzenia</w:t>
      </w:r>
      <w:proofErr w:type="gramEnd"/>
      <w:r>
        <w:rPr>
          <w:rFonts w:ascii="Times New Roman" w:hAnsi="Times New Roman"/>
          <w:sz w:val="24"/>
          <w:szCs w:val="24"/>
        </w:rPr>
        <w:t xml:space="preserve"> rozwiązań wychodzących naprzeciw oczekiwaniom funkcjonariuszy w zakresie poprawy zabezpieczenia ich potrzeb mieszkaniowych, które mają stanowić realne wsparcie dla funkcjonariuszy służb mundurowych oraz ich </w:t>
      </w:r>
      <w:proofErr w:type="gramStart"/>
      <w:r>
        <w:rPr>
          <w:rFonts w:ascii="Times New Roman" w:hAnsi="Times New Roman"/>
          <w:sz w:val="24"/>
          <w:szCs w:val="24"/>
        </w:rPr>
        <w:t>rodzin,  wnoszę</w:t>
      </w:r>
      <w:proofErr w:type="gramEnd"/>
      <w:r>
        <w:rPr>
          <w:rFonts w:ascii="Times New Roman" w:hAnsi="Times New Roman"/>
          <w:sz w:val="24"/>
          <w:szCs w:val="24"/>
        </w:rPr>
        <w:t xml:space="preserve">  o poparcie dla niniejszej petycji. </w:t>
      </w:r>
    </w:p>
    <w:p w14:paraId="2ADBC3AA"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Funkcjonariusze Służby Celno – Skarbowej (wcześniej Służby Celnej) – jako jedyna służba mundurowa, pomimo wykonywania zadań służbowych w oddelegowaniu od miejsca </w:t>
      </w:r>
      <w:proofErr w:type="gramStart"/>
      <w:r>
        <w:rPr>
          <w:rFonts w:ascii="Times New Roman" w:hAnsi="Times New Roman"/>
          <w:sz w:val="24"/>
          <w:szCs w:val="24"/>
        </w:rPr>
        <w:t>zamieszkania,</w:t>
      </w:r>
      <w:proofErr w:type="gramEnd"/>
      <w:r>
        <w:rPr>
          <w:rFonts w:ascii="Times New Roman" w:hAnsi="Times New Roman"/>
          <w:sz w:val="24"/>
          <w:szCs w:val="24"/>
        </w:rPr>
        <w:t xml:space="preserve"> czy rozpoczęcia służby w miejscu odległym od miejsca zamieszkania nigdy nie otrzymali wsparcia w postaci przydział lokalu mieszkalnego; przydział kwatery tymczasowej; skierowania do miejsca w internacie albo kwatery internatowej, a teraz nie przyznaje się im świadczenia mieszkaniowego. Znane są tragiczne losy funkcjonariuszy Służby Celnej oddelegowanych w 2003 r. i 2004 r. z granicy zachodniej i południowej na granice wschodnią i północną. </w:t>
      </w:r>
    </w:p>
    <w:p w14:paraId="4BEE1504"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07A92681" w14:textId="77777777" w:rsidR="00122D90" w:rsidRDefault="004C2B7F">
      <w:pPr>
        <w:suppressAutoHyphens w:val="0"/>
        <w:spacing w:after="0" w:line="276" w:lineRule="auto"/>
        <w:ind w:right="-284"/>
        <w:jc w:val="both"/>
        <w:textAlignment w:val="auto"/>
      </w:pPr>
      <w:proofErr w:type="gramStart"/>
      <w:r>
        <w:rPr>
          <w:rFonts w:ascii="Times New Roman" w:hAnsi="Times New Roman"/>
          <w:sz w:val="24"/>
          <w:szCs w:val="24"/>
        </w:rPr>
        <w:t>Z  uzasadnienie</w:t>
      </w:r>
      <w:proofErr w:type="gramEnd"/>
      <w:r>
        <w:rPr>
          <w:rFonts w:ascii="Times New Roman" w:hAnsi="Times New Roman"/>
          <w:sz w:val="24"/>
          <w:szCs w:val="24"/>
        </w:rPr>
        <w:t xml:space="preserve"> do </w:t>
      </w:r>
      <w:proofErr w:type="gramStart"/>
      <w:r>
        <w:rPr>
          <w:rFonts w:ascii="Times New Roman" w:hAnsi="Times New Roman"/>
          <w:sz w:val="24"/>
          <w:szCs w:val="24"/>
        </w:rPr>
        <w:t>projektu  ustawy</w:t>
      </w:r>
      <w:proofErr w:type="gramEnd"/>
      <w:r>
        <w:rPr>
          <w:rFonts w:ascii="Times New Roman" w:hAnsi="Times New Roman"/>
          <w:sz w:val="24"/>
          <w:szCs w:val="24"/>
        </w:rPr>
        <w:t xml:space="preserve"> - druk nr 1623</w:t>
      </w:r>
      <w:r>
        <w:rPr>
          <w:rFonts w:ascii="Times New Roman" w:hAnsi="Times New Roman"/>
          <w:sz w:val="24"/>
          <w:szCs w:val="24"/>
          <w:vertAlign w:val="superscript"/>
        </w:rPr>
        <w:footnoteReference w:id="12"/>
      </w:r>
      <w:r>
        <w:rPr>
          <w:rFonts w:ascii="Times New Roman" w:hAnsi="Times New Roman"/>
          <w:sz w:val="24"/>
          <w:szCs w:val="24"/>
        </w:rPr>
        <w:t xml:space="preserve"> wynika, że cel, dla którego wprowadzone zostało świadczenie mieszkaniowe dla funkcjonariuszy MSWiA – istotny jest też dla </w:t>
      </w:r>
      <w:proofErr w:type="gramStart"/>
      <w:r>
        <w:rPr>
          <w:rFonts w:ascii="Times New Roman" w:hAnsi="Times New Roman"/>
          <w:sz w:val="24"/>
          <w:szCs w:val="24"/>
        </w:rPr>
        <w:t>osiągnięcia  wymaganego</w:t>
      </w:r>
      <w:proofErr w:type="gramEnd"/>
      <w:r>
        <w:rPr>
          <w:rFonts w:ascii="Times New Roman" w:hAnsi="Times New Roman"/>
          <w:sz w:val="24"/>
          <w:szCs w:val="24"/>
        </w:rPr>
        <w:t xml:space="preserve"> stanu w Służbie Celno – Skarbowej. Celem zmian przepisów mieszkaniowych jest zapewnienie takich warunków finansowych oraz mieszkaniowych dla funkcjonariuszy, aby stały się one znaczącą motywacją do wstępowania do służby, dalszego pozostawania w służbie oraz wykonywania obowiązków służbowych na najwyższym jakościowo poziomie, a także, aby przyczyniły się do pozyskania większej liczby kandydatów do służby, na czym przecież zależy zarówno rządowi polskiemu, jak i UE (o czym była mowa wcześniej).</w:t>
      </w:r>
    </w:p>
    <w:p w14:paraId="7F36D37D" w14:textId="77777777" w:rsidR="00122D90" w:rsidRDefault="004C2B7F">
      <w:pPr>
        <w:pBdr>
          <w:left w:val="single" w:sz="4" w:space="4" w:color="000000"/>
        </w:pBdr>
        <w:suppressAutoHyphens w:val="0"/>
        <w:spacing w:after="0" w:line="276" w:lineRule="auto"/>
        <w:ind w:left="284" w:right="-284"/>
        <w:jc w:val="both"/>
        <w:textAlignment w:val="auto"/>
      </w:pPr>
      <w:r>
        <w:rPr>
          <w:rFonts w:ascii="Times New Roman" w:hAnsi="Times New Roman"/>
          <w:sz w:val="20"/>
          <w:szCs w:val="20"/>
        </w:rPr>
        <w:t xml:space="preserve">W przypadku funkcjonariuszy delegowanych z urzędu do pełnienia służby w innej miejscowości, którzy otrzymali kwaterę tymczasową, koszty ich zakwaterowania będzie ponosić Skarb Państwa, natomiast koszty zakwaterowania członków rodziny – sami funkcjonariusze. Natomiast funkcjonariuszowi przeniesionemu z urzędu do pełnienia służby w innej jednostce organizacyjnej danej służby lub w innej miejscowości przysługuje kwatera tymczasowa, której koszty: </w:t>
      </w:r>
    </w:p>
    <w:p w14:paraId="755C5E30"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1)</w:t>
      </w:r>
      <w:r>
        <w:rPr>
          <w:rFonts w:ascii="Times New Roman" w:hAnsi="Times New Roman"/>
          <w:sz w:val="20"/>
          <w:szCs w:val="20"/>
        </w:rPr>
        <w:tab/>
        <w:t xml:space="preserve">ponosi Skarb Państwa, z </w:t>
      </w:r>
      <w:proofErr w:type="gramStart"/>
      <w:r>
        <w:rPr>
          <w:rFonts w:ascii="Times New Roman" w:hAnsi="Times New Roman"/>
          <w:sz w:val="20"/>
          <w:szCs w:val="20"/>
        </w:rPr>
        <w:t>tym</w:t>
      </w:r>
      <w:proofErr w:type="gramEnd"/>
      <w:r>
        <w:rPr>
          <w:rFonts w:ascii="Times New Roman" w:hAnsi="Times New Roman"/>
          <w:sz w:val="20"/>
          <w:szCs w:val="20"/>
        </w:rPr>
        <w:t xml:space="preserve"> że koszty zakwaterowania członków rodziny w kwaterze tymczasowej ponosi funkcjonariusz, albo </w:t>
      </w:r>
    </w:p>
    <w:p w14:paraId="73965A56"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2)</w:t>
      </w:r>
      <w:r>
        <w:rPr>
          <w:rFonts w:ascii="Times New Roman" w:hAnsi="Times New Roman"/>
          <w:sz w:val="20"/>
          <w:szCs w:val="20"/>
        </w:rPr>
        <w:tab/>
        <w:t>ponosi funkcjonariusz, któremu przysługuje również świadczenie mieszkaniowe.</w:t>
      </w:r>
    </w:p>
    <w:p w14:paraId="6A147BAB" w14:textId="77777777" w:rsidR="00122D90" w:rsidRDefault="004C2B7F">
      <w:pPr>
        <w:pBdr>
          <w:left w:val="single" w:sz="4" w:space="4" w:color="000000"/>
        </w:pBdr>
        <w:suppressAutoHyphens w:val="0"/>
        <w:spacing w:after="0" w:line="276" w:lineRule="auto"/>
        <w:ind w:left="284" w:right="-284"/>
        <w:jc w:val="both"/>
        <w:textAlignment w:val="auto"/>
        <w:rPr>
          <w:rFonts w:ascii="Times New Roman" w:hAnsi="Times New Roman"/>
          <w:sz w:val="20"/>
          <w:szCs w:val="20"/>
        </w:rPr>
      </w:pPr>
      <w:r>
        <w:rPr>
          <w:rFonts w:ascii="Times New Roman" w:hAnsi="Times New Roman"/>
          <w:sz w:val="20"/>
          <w:szCs w:val="20"/>
        </w:rPr>
        <w:t>Nowym, w stosunku do obowiązujących, rozwiązaniem jest wprowadzenie możliwości realizacji prawa do zakwaterowania w formie wypłaty świadczenia mieszkaniowego.</w:t>
      </w:r>
    </w:p>
    <w:p w14:paraId="2ED934A6" w14:textId="77777777" w:rsidR="00122D90" w:rsidRDefault="00122D90">
      <w:pPr>
        <w:suppressAutoHyphens w:val="0"/>
        <w:spacing w:after="0" w:line="276" w:lineRule="auto"/>
        <w:ind w:right="-284"/>
        <w:jc w:val="both"/>
        <w:textAlignment w:val="auto"/>
        <w:rPr>
          <w:rFonts w:ascii="Times New Roman" w:hAnsi="Times New Roman"/>
          <w:sz w:val="24"/>
          <w:szCs w:val="24"/>
        </w:rPr>
      </w:pPr>
    </w:p>
    <w:p w14:paraId="5DC5A2DD"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lastRenderedPageBreak/>
        <w:t>Ponownie należy wskazać, że Służba Celno-Skarbowa jest formacją umundurowaną i uzbrojoną, realizującą zadania o kluczowym znaczeniu dla bezpieczeństwa finansowego państwa oraz ochrony granic Unii Europejskiej, w tym zwalczanie przestępczości ekonomicznej, przemytu oraz oszustw podatkowych. Charakter jej działań odpowiada zadaniom wykonywanym przez inne służby mundurowe, co zostało potwierdzone również w orzecznictwie Trybunału Konstytucyjnego.</w:t>
      </w:r>
    </w:p>
    <w:p w14:paraId="0205DAF8"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Pomimo </w:t>
      </w:r>
      <w:proofErr w:type="gramStart"/>
      <w:r>
        <w:rPr>
          <w:rFonts w:ascii="Times New Roman" w:hAnsi="Times New Roman"/>
          <w:sz w:val="24"/>
          <w:szCs w:val="24"/>
        </w:rPr>
        <w:t>tego,  funkcjonariusze</w:t>
      </w:r>
      <w:proofErr w:type="gramEnd"/>
      <w:r>
        <w:rPr>
          <w:rFonts w:ascii="Times New Roman" w:hAnsi="Times New Roman"/>
          <w:sz w:val="24"/>
          <w:szCs w:val="24"/>
        </w:rPr>
        <w:t xml:space="preserve"> Służby Celno-Skarbowej pozostają wyłączeni z rozwiązań dotyczących świadczeń mieszkaniowych przewidzianych dla innych formacji. Stan ten narusza zasady konstytucyjne, w szczególności zasadę równości wobec prawa, sprawiedliwości społecznej oraz zakaz dyskryminacji.</w:t>
      </w:r>
    </w:p>
    <w:p w14:paraId="35AE180A"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 xml:space="preserve"> </w:t>
      </w:r>
    </w:p>
    <w:p w14:paraId="72DCF719"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Wprowadzenie dodatku mieszkaniowego ma istotne znaczenie dla stabilności kadrowej formacji. Świadczenie to stanowi realne wsparcie dla funkcjonariuszy w zakresie zabezpieczenia potrzeb mieszkaniowych oraz ważny element systemu motywacyjnego, wpływający na pozyskiwanie i utrzymanie wykwalifikowanej kadry.</w:t>
      </w:r>
    </w:p>
    <w:p w14:paraId="22006528"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Jednocześnie koszt wprowadzenia świadczenia, szacowany na około 175 mln zł rocznie dla 12 tys. funkcjonariuszy, pozostaje nieproporcjonalnie niski w stosunku do znaczenia Służby Celno-Skarbowej dla finansów publicznych, która odpowiada za dochody budżetu państwa rzędu ponad 380 mld zł rocznie.</w:t>
      </w:r>
    </w:p>
    <w:p w14:paraId="043578BD" w14:textId="77777777" w:rsidR="00122D90" w:rsidRDefault="004C2B7F">
      <w:pPr>
        <w:suppressAutoHyphens w:val="0"/>
        <w:spacing w:after="0" w:line="276" w:lineRule="auto"/>
        <w:ind w:right="-284"/>
        <w:jc w:val="both"/>
        <w:textAlignment w:val="auto"/>
        <w:rPr>
          <w:rFonts w:ascii="Times New Roman" w:hAnsi="Times New Roman"/>
          <w:sz w:val="24"/>
          <w:szCs w:val="24"/>
        </w:rPr>
      </w:pPr>
      <w:r>
        <w:rPr>
          <w:rFonts w:ascii="Times New Roman" w:hAnsi="Times New Roman"/>
          <w:sz w:val="24"/>
          <w:szCs w:val="24"/>
        </w:rPr>
        <w:t>W związku z powyższym wprowadzenie dodatku mieszkaniowego dla funkcjonariuszy Służby Celno-Skarbowej formacji liczącej 12 tyś., jest w pełni uzasadnione zarówno z punktu widzenia zasad konstytucyjnych, jak i interesu państwa, bowiem nie ma żadnego racjonalnego uzasadnienia dla pominięcia SCS w przyznaniu świadczenia mieszkaniowego.</w:t>
      </w:r>
    </w:p>
    <w:p w14:paraId="1265AFE6" w14:textId="77777777" w:rsidR="00122D90" w:rsidRDefault="00122D90">
      <w:pPr>
        <w:suppressAutoHyphens w:val="0"/>
        <w:spacing w:after="0" w:line="276" w:lineRule="auto"/>
        <w:ind w:right="-284"/>
        <w:jc w:val="both"/>
        <w:textAlignment w:val="auto"/>
        <w:rPr>
          <w:rFonts w:ascii="Times New Roman" w:hAnsi="Times New Roman"/>
          <w:b/>
          <w:bCs/>
          <w:sz w:val="24"/>
          <w:szCs w:val="24"/>
        </w:rPr>
      </w:pPr>
    </w:p>
    <w:p w14:paraId="6219B7BC" w14:textId="781144A0" w:rsidR="00122D90" w:rsidRDefault="004C2B7F">
      <w:pPr>
        <w:suppressAutoHyphens w:val="0"/>
        <w:spacing w:after="0" w:line="276" w:lineRule="auto"/>
        <w:ind w:right="-284"/>
        <w:jc w:val="both"/>
        <w:textAlignment w:val="auto"/>
        <w:rPr>
          <w:rFonts w:ascii="Times New Roman" w:hAnsi="Times New Roman"/>
          <w:b/>
          <w:bCs/>
          <w:sz w:val="24"/>
          <w:szCs w:val="24"/>
        </w:rPr>
      </w:pPr>
      <w:r>
        <w:rPr>
          <w:rFonts w:ascii="Times New Roman" w:hAnsi="Times New Roman"/>
          <w:b/>
          <w:bCs/>
          <w:sz w:val="24"/>
          <w:szCs w:val="24"/>
        </w:rPr>
        <w:t xml:space="preserve">Zatem apeluję o wprowadzenie do przepisów prawa świadczenia mieszkaniowego dla funkcjonariuszy Służby Celno – Skarbowej, co </w:t>
      </w:r>
      <w:proofErr w:type="gramStart"/>
      <w:r>
        <w:rPr>
          <w:rFonts w:ascii="Times New Roman" w:hAnsi="Times New Roman"/>
          <w:b/>
          <w:bCs/>
          <w:sz w:val="24"/>
          <w:szCs w:val="24"/>
        </w:rPr>
        <w:t>będzie  przejawem</w:t>
      </w:r>
      <w:proofErr w:type="gramEnd"/>
      <w:r>
        <w:rPr>
          <w:rFonts w:ascii="Times New Roman" w:hAnsi="Times New Roman"/>
          <w:b/>
          <w:bCs/>
          <w:sz w:val="24"/>
          <w:szCs w:val="24"/>
        </w:rPr>
        <w:t xml:space="preserve"> perspektywicznego myślenia i</w:t>
      </w:r>
      <w:r w:rsidR="001D0586">
        <w:rPr>
          <w:rFonts w:ascii="Times New Roman" w:hAnsi="Times New Roman"/>
          <w:b/>
          <w:bCs/>
          <w:sz w:val="24"/>
          <w:szCs w:val="24"/>
        </w:rPr>
        <w:t xml:space="preserve"> chęci </w:t>
      </w:r>
      <w:proofErr w:type="gramStart"/>
      <w:r w:rsidR="001D0586">
        <w:rPr>
          <w:rFonts w:ascii="Times New Roman" w:hAnsi="Times New Roman"/>
          <w:b/>
          <w:bCs/>
          <w:sz w:val="24"/>
          <w:szCs w:val="24"/>
        </w:rPr>
        <w:t xml:space="preserve">uniknięcia </w:t>
      </w:r>
      <w:r>
        <w:rPr>
          <w:rFonts w:ascii="Times New Roman" w:hAnsi="Times New Roman"/>
          <w:b/>
          <w:bCs/>
          <w:sz w:val="24"/>
          <w:szCs w:val="24"/>
        </w:rPr>
        <w:t xml:space="preserve"> powtórzenia</w:t>
      </w:r>
      <w:proofErr w:type="gramEnd"/>
      <w:r>
        <w:rPr>
          <w:rFonts w:ascii="Times New Roman" w:hAnsi="Times New Roman"/>
          <w:b/>
          <w:bCs/>
          <w:sz w:val="24"/>
          <w:szCs w:val="24"/>
        </w:rPr>
        <w:t xml:space="preserve">  błędów</w:t>
      </w:r>
      <w:r w:rsidR="001D0586">
        <w:rPr>
          <w:rFonts w:ascii="Times New Roman" w:hAnsi="Times New Roman"/>
          <w:b/>
          <w:bCs/>
          <w:sz w:val="24"/>
          <w:szCs w:val="24"/>
        </w:rPr>
        <w:t xml:space="preserve"> poprzednich rządów</w:t>
      </w:r>
      <w:r>
        <w:rPr>
          <w:rFonts w:ascii="Times New Roman" w:hAnsi="Times New Roman"/>
          <w:b/>
          <w:bCs/>
          <w:sz w:val="24"/>
          <w:szCs w:val="24"/>
        </w:rPr>
        <w:t xml:space="preserve">: zaniechania i </w:t>
      </w:r>
      <w:proofErr w:type="gramStart"/>
      <w:r>
        <w:rPr>
          <w:rFonts w:ascii="Times New Roman" w:hAnsi="Times New Roman"/>
          <w:b/>
          <w:bCs/>
          <w:sz w:val="24"/>
          <w:szCs w:val="24"/>
        </w:rPr>
        <w:t>nieprzewidzenia  skutków</w:t>
      </w:r>
      <w:proofErr w:type="gramEnd"/>
      <w:r>
        <w:rPr>
          <w:rFonts w:ascii="Times New Roman" w:hAnsi="Times New Roman"/>
          <w:b/>
          <w:bCs/>
          <w:sz w:val="24"/>
          <w:szCs w:val="24"/>
        </w:rPr>
        <w:t xml:space="preserve"> braku ww. świadczenia</w:t>
      </w:r>
      <w:r w:rsidR="001D0586">
        <w:rPr>
          <w:rFonts w:ascii="Times New Roman" w:hAnsi="Times New Roman"/>
          <w:b/>
          <w:bCs/>
          <w:sz w:val="24"/>
          <w:szCs w:val="24"/>
        </w:rPr>
        <w:t>.</w:t>
      </w:r>
    </w:p>
    <w:p w14:paraId="0FAA9572" w14:textId="77777777" w:rsidR="00122D90" w:rsidRDefault="00122D90">
      <w:pPr>
        <w:suppressAutoHyphens w:val="0"/>
        <w:spacing w:after="0" w:line="276" w:lineRule="auto"/>
        <w:ind w:right="-284"/>
        <w:jc w:val="both"/>
        <w:textAlignment w:val="auto"/>
        <w:rPr>
          <w:rFonts w:ascii="Times New Roman" w:hAnsi="Times New Roman"/>
          <w:b/>
          <w:bCs/>
          <w:sz w:val="24"/>
          <w:szCs w:val="24"/>
        </w:rPr>
      </w:pPr>
    </w:p>
    <w:p w14:paraId="1E33EA57" w14:textId="77777777" w:rsidR="00122D90" w:rsidRDefault="00122D90">
      <w:pPr>
        <w:suppressAutoHyphens w:val="0"/>
        <w:spacing w:after="0" w:line="276" w:lineRule="auto"/>
        <w:ind w:right="-284"/>
        <w:jc w:val="both"/>
        <w:textAlignment w:val="auto"/>
        <w:rPr>
          <w:rFonts w:ascii="Times New Roman" w:hAnsi="Times New Roman"/>
          <w:b/>
          <w:bCs/>
          <w:sz w:val="24"/>
          <w:szCs w:val="24"/>
        </w:rPr>
      </w:pPr>
    </w:p>
    <w:p w14:paraId="48B1E0B9" w14:textId="77777777" w:rsidR="00122D90" w:rsidRDefault="004C2B7F">
      <w:pPr>
        <w:suppressAutoHyphens w:val="0"/>
        <w:spacing w:after="0" w:line="276" w:lineRule="auto"/>
        <w:ind w:left="4956" w:right="-284" w:firstLine="708"/>
        <w:jc w:val="both"/>
        <w:textAlignment w:val="auto"/>
        <w:rPr>
          <w:rFonts w:ascii="Times New Roman" w:hAnsi="Times New Roman"/>
          <w:sz w:val="24"/>
          <w:szCs w:val="24"/>
        </w:rPr>
      </w:pPr>
      <w:r>
        <w:rPr>
          <w:rFonts w:ascii="Times New Roman" w:hAnsi="Times New Roman"/>
          <w:sz w:val="24"/>
          <w:szCs w:val="24"/>
        </w:rPr>
        <w:t>Z wyrazami szacunku</w:t>
      </w:r>
    </w:p>
    <w:p w14:paraId="6B07003B" w14:textId="77777777" w:rsidR="00122D90" w:rsidRDefault="00122D90">
      <w:pPr>
        <w:suppressAutoHyphens w:val="0"/>
        <w:spacing w:after="0" w:line="276" w:lineRule="auto"/>
        <w:ind w:left="4956" w:right="-284" w:firstLine="708"/>
        <w:jc w:val="both"/>
        <w:textAlignment w:val="auto"/>
        <w:rPr>
          <w:rFonts w:ascii="Times New Roman" w:hAnsi="Times New Roman"/>
          <w:sz w:val="24"/>
          <w:szCs w:val="24"/>
        </w:rPr>
      </w:pPr>
    </w:p>
    <w:p w14:paraId="06A0CE46" w14:textId="77777777" w:rsidR="00122D90" w:rsidRDefault="004C2B7F">
      <w:pPr>
        <w:suppressAutoHyphens w:val="0"/>
        <w:spacing w:after="0" w:line="276" w:lineRule="auto"/>
        <w:ind w:left="4956" w:right="-284" w:firstLine="708"/>
        <w:jc w:val="both"/>
        <w:textAlignment w:val="auto"/>
        <w:rPr>
          <w:rFonts w:ascii="Times New Roman" w:hAnsi="Times New Roman"/>
          <w:sz w:val="24"/>
          <w:szCs w:val="24"/>
        </w:rPr>
      </w:pPr>
      <w:r>
        <w:rPr>
          <w:rFonts w:ascii="Times New Roman" w:hAnsi="Times New Roman"/>
          <w:sz w:val="24"/>
          <w:szCs w:val="24"/>
        </w:rPr>
        <w:t>_________________</w:t>
      </w:r>
      <w:r>
        <w:rPr>
          <w:rFonts w:ascii="Times New Roman" w:hAnsi="Times New Roman"/>
          <w:sz w:val="24"/>
          <w:szCs w:val="24"/>
        </w:rPr>
        <w:br/>
        <w:t xml:space="preserve">               czytelny podpis</w:t>
      </w:r>
    </w:p>
    <w:p w14:paraId="62160A33" w14:textId="77777777" w:rsidR="00122D90" w:rsidRDefault="00122D90">
      <w:pPr>
        <w:widowControl w:val="0"/>
        <w:spacing w:after="0" w:line="360" w:lineRule="auto"/>
        <w:ind w:left="2832" w:firstLine="708"/>
        <w:rPr>
          <w:rFonts w:eastAsia="Times New Roman" w:cs="Calibri"/>
          <w:b/>
          <w:bCs/>
          <w:sz w:val="24"/>
          <w:szCs w:val="20"/>
          <w:lang w:eastAsia="ar-SA"/>
        </w:rPr>
      </w:pPr>
    </w:p>
    <w:p w14:paraId="02923E44" w14:textId="77777777" w:rsidR="00122D90" w:rsidRDefault="00122D90">
      <w:pPr>
        <w:keepNext/>
        <w:spacing w:after="0" w:line="276" w:lineRule="auto"/>
        <w:jc w:val="both"/>
        <w:rPr>
          <w:rFonts w:cs="Calibri"/>
          <w:b/>
          <w:bCs/>
          <w:sz w:val="24"/>
          <w:szCs w:val="24"/>
        </w:rPr>
      </w:pPr>
    </w:p>
    <w:sectPr w:rsidR="00122D9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6F0BC" w14:textId="77777777" w:rsidR="00043221" w:rsidRDefault="00043221">
      <w:pPr>
        <w:spacing w:after="0" w:line="240" w:lineRule="auto"/>
      </w:pPr>
      <w:r>
        <w:separator/>
      </w:r>
    </w:p>
  </w:endnote>
  <w:endnote w:type="continuationSeparator" w:id="0">
    <w:p w14:paraId="7D4ADCFF" w14:textId="77777777" w:rsidR="00043221" w:rsidRDefault="00043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55423" w14:textId="77777777" w:rsidR="00043221" w:rsidRDefault="00043221">
      <w:pPr>
        <w:spacing w:after="0" w:line="240" w:lineRule="auto"/>
      </w:pPr>
      <w:r>
        <w:rPr>
          <w:color w:val="000000"/>
        </w:rPr>
        <w:separator/>
      </w:r>
    </w:p>
  </w:footnote>
  <w:footnote w:type="continuationSeparator" w:id="0">
    <w:p w14:paraId="3B9D3862" w14:textId="77777777" w:rsidR="00043221" w:rsidRDefault="00043221">
      <w:pPr>
        <w:spacing w:after="0" w:line="240" w:lineRule="auto"/>
      </w:pPr>
      <w:r>
        <w:continuationSeparator/>
      </w:r>
    </w:p>
  </w:footnote>
  <w:footnote w:id="1">
    <w:p w14:paraId="444D6CA1" w14:textId="13E6C7F3" w:rsidR="00FF6F57" w:rsidRPr="00FF6F57" w:rsidRDefault="00FF6F57" w:rsidP="00FF6F57">
      <w:pPr>
        <w:pStyle w:val="Tekstprzypisudolnego"/>
        <w:rPr>
          <w:sz w:val="16"/>
          <w:szCs w:val="16"/>
        </w:rPr>
      </w:pPr>
      <w:r>
        <w:rPr>
          <w:rStyle w:val="Odwoanieprzypisudolnego"/>
        </w:rPr>
        <w:footnoteRef/>
      </w:r>
      <w:r>
        <w:t xml:space="preserve"> </w:t>
      </w:r>
      <w:r w:rsidRPr="00FF6F57">
        <w:rPr>
          <w:sz w:val="16"/>
          <w:szCs w:val="16"/>
        </w:rPr>
        <w:t>Ustawa o petycjach Dz.U. z 2014 r. poz. 1195 - t. j. Dz.U. z 2018 r. poz. 870</w:t>
      </w:r>
    </w:p>
  </w:footnote>
  <w:footnote w:id="2">
    <w:p w14:paraId="7397DAB5" w14:textId="77777777" w:rsidR="00122D90" w:rsidRDefault="004C2B7F">
      <w:pPr>
        <w:pStyle w:val="Tekstprzypisudolnego"/>
      </w:pPr>
      <w:r>
        <w:rPr>
          <w:rStyle w:val="Odwoanieprzypisudolnego"/>
        </w:rPr>
        <w:footnoteRef/>
      </w:r>
      <w:r>
        <w:t xml:space="preserve"> </w:t>
      </w:r>
      <w:hyperlink r:id="rId1" w:history="1">
        <w:r>
          <w:rPr>
            <w:rStyle w:val="Hipercze"/>
            <w:rFonts w:ascii="Times New Roman" w:hAnsi="Times New Roman"/>
            <w:sz w:val="16"/>
            <w:szCs w:val="16"/>
          </w:rPr>
          <w:t>Przygotowanie Służb Celnych do wykonywania na północno-wschodnim i wschodnim odcinku granicy państwowej zadań związanych z akcesją Polski do Unii Europejskiej w latach 2002 – 2005 (I kw.) - Najwyższa Izba Kontroli</w:t>
        </w:r>
      </w:hyperlink>
      <w:r>
        <w:rPr>
          <w:rFonts w:ascii="Times New Roman" w:hAnsi="Times New Roman"/>
          <w:sz w:val="16"/>
          <w:szCs w:val="16"/>
        </w:rPr>
        <w:t xml:space="preserve"> </w:t>
      </w:r>
    </w:p>
    <w:p w14:paraId="23AE42BF" w14:textId="77777777" w:rsidR="004C2B7F" w:rsidRDefault="004C2B7F"/>
  </w:footnote>
  <w:footnote w:id="3">
    <w:p w14:paraId="6F436FED" w14:textId="77777777" w:rsidR="00122D90" w:rsidRDefault="004C2B7F">
      <w:r>
        <w:rPr>
          <w:rStyle w:val="Odwoanieprzypisudolnego"/>
        </w:rPr>
        <w:footnoteRef/>
      </w:r>
      <w:r>
        <w:t xml:space="preserve"> </w:t>
      </w:r>
      <w:r>
        <w:rPr>
          <w:rFonts w:ascii="Times New Roman" w:hAnsi="Times New Roman"/>
          <w:sz w:val="16"/>
          <w:szCs w:val="16"/>
        </w:rPr>
        <w:t xml:space="preserve">KBF.430.012.2019 - Nr </w:t>
      </w:r>
      <w:proofErr w:type="spellStart"/>
      <w:r>
        <w:rPr>
          <w:rFonts w:ascii="Times New Roman" w:hAnsi="Times New Roman"/>
          <w:sz w:val="16"/>
          <w:szCs w:val="16"/>
        </w:rPr>
        <w:t>ewid</w:t>
      </w:r>
      <w:proofErr w:type="spellEnd"/>
      <w:r>
        <w:rPr>
          <w:rFonts w:ascii="Times New Roman" w:hAnsi="Times New Roman"/>
          <w:sz w:val="16"/>
          <w:szCs w:val="16"/>
        </w:rPr>
        <w:t>. 159/2019/P/18/009/KBF</w:t>
      </w:r>
    </w:p>
    <w:p w14:paraId="0929CF70" w14:textId="77777777" w:rsidR="00122D90" w:rsidRDefault="00122D90">
      <w:pPr>
        <w:pStyle w:val="Tekstprzypisudolnego"/>
      </w:pPr>
    </w:p>
    <w:p w14:paraId="2407A460" w14:textId="77777777" w:rsidR="004C2B7F" w:rsidRDefault="004C2B7F"/>
  </w:footnote>
  <w:footnote w:id="4">
    <w:p w14:paraId="5439C28D" w14:textId="77777777" w:rsidR="00122D90" w:rsidRDefault="004C2B7F">
      <w:pPr>
        <w:pStyle w:val="Tekstprzypisudolnego"/>
      </w:pPr>
      <w:r>
        <w:rPr>
          <w:rStyle w:val="Odwoanieprzypisudolnego"/>
        </w:rPr>
        <w:footnoteRef/>
      </w:r>
      <w:r>
        <w:t xml:space="preserve"> Ustawa o Straży Granicznej - t. j. Dz.U. z 2026 r. poz. 367 ze zm. – dalej ustawa SG</w:t>
      </w:r>
    </w:p>
    <w:p w14:paraId="46E98698" w14:textId="77777777" w:rsidR="004C2B7F" w:rsidRDefault="004C2B7F"/>
  </w:footnote>
  <w:footnote w:id="5">
    <w:p w14:paraId="07DD5A3A" w14:textId="77777777" w:rsidR="00122D90" w:rsidRDefault="004C2B7F">
      <w:pPr>
        <w:pStyle w:val="Tekstprzypisudolnego"/>
      </w:pPr>
      <w:r>
        <w:rPr>
          <w:rStyle w:val="Odwoanieprzypisudolnego"/>
        </w:rPr>
        <w:footnoteRef/>
      </w:r>
      <w:r>
        <w:t xml:space="preserve"> Ustawa o Policji - t. j. Dz.U. z 2025 r. poz. 636 ze zm. – dalej ustawa o Policji</w:t>
      </w:r>
    </w:p>
    <w:p w14:paraId="51DB10DA" w14:textId="77777777" w:rsidR="004C2B7F" w:rsidRDefault="004C2B7F"/>
  </w:footnote>
  <w:footnote w:id="6">
    <w:p w14:paraId="5C22545C" w14:textId="77777777" w:rsidR="00122D90" w:rsidRDefault="004C2B7F">
      <w:pPr>
        <w:pStyle w:val="Tekstprzypisudolnego"/>
      </w:pPr>
      <w:r>
        <w:rPr>
          <w:rStyle w:val="Odwoanieprzypisudolnego"/>
        </w:rPr>
        <w:footnoteRef/>
      </w:r>
      <w:r>
        <w:t xml:space="preserve"> Ustawa o Krajowej Administracji Skarbowej t. j. Dz.U. z 2025 r. poz. 1131 ze zm. – dalej ustawa o KAS</w:t>
      </w:r>
    </w:p>
    <w:p w14:paraId="2C0B2D1B" w14:textId="77777777" w:rsidR="004C2B7F" w:rsidRDefault="004C2B7F"/>
  </w:footnote>
  <w:footnote w:id="7">
    <w:p w14:paraId="43CE3CED" w14:textId="77777777" w:rsidR="00122D90" w:rsidRDefault="004C2B7F">
      <w:pPr>
        <w:pStyle w:val="Tekstprzypisudolnego"/>
      </w:pPr>
      <w:r>
        <w:rPr>
          <w:rStyle w:val="Odwoanieprzypisudolnego"/>
        </w:rPr>
        <w:footnoteRef/>
      </w:r>
      <w:r>
        <w:t xml:space="preserve"> </w:t>
      </w:r>
      <w:r>
        <w:rPr>
          <w:sz w:val="16"/>
          <w:szCs w:val="16"/>
        </w:rPr>
        <w:t>(UE) 2021/690, (UE) 2021/785, (UE) 2021/847 i (UE) 2021/1077 (</w:t>
      </w:r>
      <w:proofErr w:type="gramStart"/>
      <w:r>
        <w:rPr>
          <w:sz w:val="16"/>
          <w:szCs w:val="16"/>
        </w:rPr>
        <w:t>COM(</w:t>
      </w:r>
      <w:proofErr w:type="gramEnd"/>
      <w:r>
        <w:rPr>
          <w:sz w:val="16"/>
          <w:szCs w:val="16"/>
        </w:rPr>
        <w:t xml:space="preserve">2025) 590 </w:t>
      </w:r>
      <w:proofErr w:type="spellStart"/>
      <w:r>
        <w:rPr>
          <w:sz w:val="16"/>
          <w:szCs w:val="16"/>
        </w:rPr>
        <w:t>final</w:t>
      </w:r>
      <w:proofErr w:type="spellEnd"/>
      <w:r>
        <w:rPr>
          <w:sz w:val="16"/>
          <w:szCs w:val="16"/>
        </w:rPr>
        <w:t xml:space="preserve"> – 2025/0590 (COD)) (C/2026/1959)</w:t>
      </w:r>
    </w:p>
    <w:p w14:paraId="5A041AF3" w14:textId="77777777" w:rsidR="004C2B7F" w:rsidRDefault="004C2B7F"/>
  </w:footnote>
  <w:footnote w:id="8">
    <w:p w14:paraId="691CF02D" w14:textId="04985917" w:rsidR="004C2B7F" w:rsidRDefault="004C2B7F" w:rsidP="001D0586">
      <w:pPr>
        <w:pStyle w:val="Tekstprzypisudolnego"/>
      </w:pPr>
      <w:r>
        <w:rPr>
          <w:rStyle w:val="Odwoanieprzypisudolnego"/>
        </w:rPr>
        <w:footnoteRef/>
      </w:r>
      <w:r>
        <w:rPr>
          <w:sz w:val="16"/>
          <w:szCs w:val="16"/>
        </w:rPr>
        <w:t xml:space="preserve"> Straż Marszałkowska jest umundurowaną i uzbrojoną formacją wykonującą zadania w zakresie ochrony Sejmu i Senatu – a zatem zadania wykonuje w budynkach Sejmu i Senatu, a te </w:t>
      </w:r>
      <w:proofErr w:type="gramStart"/>
      <w:r>
        <w:rPr>
          <w:sz w:val="16"/>
          <w:szCs w:val="16"/>
        </w:rPr>
        <w:t>znajdują  się</w:t>
      </w:r>
      <w:proofErr w:type="gramEnd"/>
      <w:r>
        <w:rPr>
          <w:sz w:val="16"/>
          <w:szCs w:val="16"/>
        </w:rPr>
        <w:t xml:space="preserve"> jedynie w Warszawie - art. 1 ust 1 Ustawy o Straży Marszałkowskiej Dz.U. z 2018 r. poz. </w:t>
      </w:r>
      <w:proofErr w:type="gramStart"/>
      <w:r>
        <w:rPr>
          <w:sz w:val="16"/>
          <w:szCs w:val="16"/>
        </w:rPr>
        <w:t>729  -</w:t>
      </w:r>
      <w:proofErr w:type="gramEnd"/>
      <w:r>
        <w:rPr>
          <w:sz w:val="16"/>
          <w:szCs w:val="16"/>
        </w:rPr>
        <w:t xml:space="preserve"> t. j. Dz.U. z 2025 r. poz. 607 – dalej ustawa o SM </w:t>
      </w:r>
    </w:p>
  </w:footnote>
  <w:footnote w:id="9">
    <w:p w14:paraId="1636E4BD" w14:textId="77777777" w:rsidR="00122D90" w:rsidRDefault="004C2B7F">
      <w:pPr>
        <w:pStyle w:val="Tekstprzypisudolnego"/>
      </w:pPr>
      <w:r>
        <w:rPr>
          <w:rStyle w:val="Odwoanieprzypisudolnego"/>
        </w:rPr>
        <w:footnoteRef/>
      </w:r>
      <w:r>
        <w:rPr>
          <w:sz w:val="16"/>
          <w:szCs w:val="16"/>
        </w:rPr>
        <w:t xml:space="preserve"> Druk nr 1894 Poselski projekt ustawy o zmianie ustawy o Straży Marszałkowskiej oraz ustawy o podatku dochodowym od osób fizycznych.</w:t>
      </w:r>
    </w:p>
    <w:p w14:paraId="52F1D9D6" w14:textId="77777777" w:rsidR="004C2B7F" w:rsidRDefault="004C2B7F"/>
  </w:footnote>
  <w:footnote w:id="10">
    <w:p w14:paraId="233EC2E8" w14:textId="77777777" w:rsidR="00122D90" w:rsidRDefault="004C2B7F">
      <w:pPr>
        <w:pStyle w:val="Tekstprzypisudolnego"/>
      </w:pPr>
      <w:r>
        <w:rPr>
          <w:rStyle w:val="Odwoanieprzypisudolnego"/>
        </w:rPr>
        <w:footnoteRef/>
      </w:r>
      <w:r>
        <w:t xml:space="preserve"> </w:t>
      </w:r>
      <w:r>
        <w:rPr>
          <w:sz w:val="16"/>
          <w:szCs w:val="16"/>
        </w:rPr>
        <w:t xml:space="preserve">UE nr C/2026/1959 </w:t>
      </w:r>
      <w:r>
        <w:rPr>
          <w:sz w:val="16"/>
          <w:szCs w:val="16"/>
        </w:rPr>
        <w:tab/>
        <w:t>28.4.2026 - Opinia Europejskiego Komitetu Ekonomiczno-Społecznego Europejski Komitet Ekonomiczno-</w:t>
      </w:r>
      <w:proofErr w:type="gramStart"/>
      <w:r>
        <w:rPr>
          <w:sz w:val="16"/>
          <w:szCs w:val="16"/>
        </w:rPr>
        <w:t>Społeczny  -</w:t>
      </w:r>
      <w:proofErr w:type="gramEnd"/>
      <w:r>
        <w:rPr>
          <w:sz w:val="16"/>
          <w:szCs w:val="16"/>
        </w:rPr>
        <w:t xml:space="preserve"> Wniosek dotyczący rozporządzenia Parlamentu Europejskiego i Rady ustanawiającego Program na rzecz jednolitego rynku i ceł na lata 2028–2034 oraz uchylającego rozporządzenia (UE) 2021/</w:t>
      </w:r>
      <w:proofErr w:type="gramStart"/>
      <w:r>
        <w:rPr>
          <w:sz w:val="16"/>
          <w:szCs w:val="16"/>
        </w:rPr>
        <w:t>444 ,</w:t>
      </w:r>
      <w:proofErr w:type="gramEnd"/>
      <w:r>
        <w:rPr>
          <w:sz w:val="16"/>
          <w:szCs w:val="16"/>
        </w:rPr>
        <w:t xml:space="preserve">  (UE) 2021/690, (UE) 2021/785, (UE) 2021/847 i (UE) 2021/1077 (</w:t>
      </w:r>
      <w:proofErr w:type="gramStart"/>
      <w:r>
        <w:rPr>
          <w:sz w:val="16"/>
          <w:szCs w:val="16"/>
        </w:rPr>
        <w:t>COM(</w:t>
      </w:r>
      <w:proofErr w:type="gramEnd"/>
      <w:r>
        <w:rPr>
          <w:sz w:val="16"/>
          <w:szCs w:val="16"/>
        </w:rPr>
        <w:t xml:space="preserve">2025) 590 </w:t>
      </w:r>
      <w:proofErr w:type="spellStart"/>
      <w:r>
        <w:rPr>
          <w:sz w:val="16"/>
          <w:szCs w:val="16"/>
        </w:rPr>
        <w:t>final</w:t>
      </w:r>
      <w:proofErr w:type="spellEnd"/>
      <w:r>
        <w:rPr>
          <w:sz w:val="16"/>
          <w:szCs w:val="16"/>
        </w:rPr>
        <w:t xml:space="preserve"> – 2025/0590 (COD)) (C/2026/1959)</w:t>
      </w:r>
    </w:p>
    <w:p w14:paraId="39C801CB" w14:textId="77777777" w:rsidR="004C2B7F" w:rsidRDefault="004C2B7F"/>
  </w:footnote>
  <w:footnote w:id="11">
    <w:p w14:paraId="48F99579" w14:textId="77777777" w:rsidR="00122D90" w:rsidRDefault="004C2B7F">
      <w:pPr>
        <w:pStyle w:val="Tekstprzypisudolnego"/>
      </w:pPr>
      <w:r>
        <w:rPr>
          <w:rStyle w:val="Odwoanieprzypisudolnego"/>
        </w:rPr>
        <w:footnoteRef/>
      </w:r>
      <w:r>
        <w:rPr>
          <w:sz w:val="16"/>
          <w:szCs w:val="16"/>
        </w:rPr>
        <w:t xml:space="preserve"> Ustawa o Krajowej Administracji Skarbowej Dz.U. z 2016 r. poz. 1947 - t. j. Dz.U. z 2025 r. poz. 1131- dalej ustawa o KAS</w:t>
      </w:r>
    </w:p>
    <w:p w14:paraId="29E81CCC" w14:textId="77777777" w:rsidR="004C2B7F" w:rsidRDefault="004C2B7F"/>
  </w:footnote>
  <w:footnote w:id="12">
    <w:p w14:paraId="48A58FC8" w14:textId="77777777" w:rsidR="00122D90" w:rsidRDefault="004C2B7F">
      <w:pPr>
        <w:pStyle w:val="Tekstprzypisudolnego"/>
        <w:jc w:val="both"/>
      </w:pPr>
      <w:r>
        <w:rPr>
          <w:rStyle w:val="Odwoanieprzypisudolnego"/>
        </w:rPr>
        <w:footnoteRef/>
      </w:r>
      <w:r>
        <w:t xml:space="preserve"> </w:t>
      </w:r>
      <w:r>
        <w:rPr>
          <w:sz w:val="16"/>
          <w:szCs w:val="16"/>
        </w:rPr>
        <w:t xml:space="preserve">Rządowy projekt ustawy o zmianie niektórych ustaw w związku z określeniem zasad zakwaterowania funkcjonariuszy Policji, Straży Granicznej, Państwowej Straży Pożarnej, Agencji Bezpieczeństwa Wewnętrznego, Agencji Wywiadu, Służby Kontrwywiadu Wojskowego, Służby Wywiadu Wojskowego, Służby Ochrony Państwa oraz poprawy niektórych warunków pełnienia służby - </w:t>
      </w:r>
      <w:hyperlink r:id="rId2" w:history="1">
        <w:r>
          <w:rPr>
            <w:rStyle w:val="Hipercze"/>
            <w:sz w:val="16"/>
            <w:szCs w:val="16"/>
          </w:rPr>
          <w:t>https://www.sejm.gov.pl/Sejm10.nsf/druk.xsp?nr=1623</w:t>
        </w:r>
      </w:hyperlink>
      <w:r>
        <w:rPr>
          <w:sz w:val="16"/>
          <w:szCs w:val="16"/>
        </w:rPr>
        <w:t xml:space="preserve"> </w:t>
      </w:r>
    </w:p>
    <w:p w14:paraId="1289C50C" w14:textId="77777777" w:rsidR="004C2B7F" w:rsidRDefault="004C2B7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6B76"/>
    <w:multiLevelType w:val="multilevel"/>
    <w:tmpl w:val="C6CC3B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82281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D90"/>
    <w:rsid w:val="00043221"/>
    <w:rsid w:val="00122D90"/>
    <w:rsid w:val="001D0586"/>
    <w:rsid w:val="004C2B7F"/>
    <w:rsid w:val="00514F29"/>
    <w:rsid w:val="00573AB2"/>
    <w:rsid w:val="00660E45"/>
    <w:rsid w:val="008B5EB6"/>
    <w:rsid w:val="00970E36"/>
    <w:rsid w:val="00FF6F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982A"/>
  <w15:docId w15:val="{2D96E3AF-C39E-44C7-8D4A-513DED50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Pr>
      <w:rFonts w:cs="Times New Roman"/>
      <w:position w:val="0"/>
      <w:vertAlign w:val="superscript"/>
    </w:rPr>
  </w:style>
  <w:style w:type="character" w:customStyle="1" w:styleId="Znakiprzypiswdolnych">
    <w:name w:val="Znaki przypisów dolnych"/>
  </w:style>
  <w:style w:type="paragraph" w:customStyle="1" w:styleId="OZNRODZAKTUtznustawalubrozporzdzenieiorganwydajcy">
    <w:name w:val="OZN_RODZ_AKTU – tzn. ustawa lub rozporządzenie i organ wydający"/>
    <w:pPr>
      <w:keepNext/>
      <w:suppressAutoHyphens/>
      <w:spacing w:after="120" w:line="360" w:lineRule="auto"/>
      <w:jc w:val="center"/>
    </w:pPr>
    <w:rPr>
      <w:rFonts w:ascii="Times" w:eastAsia="Times New Roman" w:hAnsi="Times"/>
      <w:b/>
      <w:bCs/>
      <w:caps/>
      <w:spacing w:val="54"/>
      <w:kern w:val="3"/>
      <w:sz w:val="24"/>
      <w:szCs w:val="24"/>
      <w:lang w:eastAsia="ar-SA"/>
    </w:rPr>
  </w:style>
  <w:style w:type="paragraph" w:customStyle="1" w:styleId="ODNONIKtreodnonika">
    <w:name w:val="ODNOŚNIK – treść odnośnika"/>
    <w:pPr>
      <w:suppressAutoHyphens/>
      <w:spacing w:after="0" w:line="100" w:lineRule="atLeast"/>
      <w:ind w:left="284" w:hanging="284"/>
      <w:jc w:val="both"/>
    </w:pPr>
    <w:rPr>
      <w:rFonts w:ascii="Times New Roman" w:eastAsia="Times New Roman" w:hAnsi="Times New Roman" w:cs="Arial"/>
      <w:sz w:val="20"/>
      <w:szCs w:val="20"/>
      <w:lang w:eastAsia="ar-SA"/>
    </w:rPr>
  </w:style>
  <w:style w:type="paragraph" w:styleId="Tekstprzypisudolnego">
    <w:name w:val="footnote text"/>
    <w:basedOn w:val="Normalny"/>
    <w:pPr>
      <w:spacing w:after="0" w:line="240" w:lineRule="auto"/>
    </w:pPr>
    <w:rPr>
      <w:sz w:val="20"/>
      <w:szCs w:val="20"/>
    </w:rPr>
  </w:style>
  <w:style w:type="character" w:customStyle="1" w:styleId="TekstprzypisudolnegoZnak">
    <w:name w:val="Tekst przypisu dolnego Znak"/>
    <w:basedOn w:val="Domylnaczcionkaakapitu"/>
    <w:rPr>
      <w:sz w:val="20"/>
      <w:szCs w:val="20"/>
    </w:rPr>
  </w:style>
  <w:style w:type="character" w:styleId="Hipercze">
    <w:name w:val="Hyperlink"/>
    <w:basedOn w:val="Domylnaczcionkaakapitu"/>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7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sejm.gov.pl/Sejm10.nsf/druk.xsp?nr=1623" TargetMode="External"/><Relationship Id="rId1" Type="http://schemas.openxmlformats.org/officeDocument/2006/relationships/hyperlink" Target="https://www.nik.gov.pl/kontrole/wyniki-kontroli-nik/kontrola,170.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C8610-C3BC-460C-B4D1-984B179F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6373</Words>
  <Characters>38242</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Kuś Joanna</dc:creator>
  <dc:description/>
  <cp:lastModifiedBy>Grzegorz Igor Raczyński</cp:lastModifiedBy>
  <cp:revision>2</cp:revision>
  <dcterms:created xsi:type="dcterms:W3CDTF">2026-11-04T18:17:00Z</dcterms:created>
  <dcterms:modified xsi:type="dcterms:W3CDTF">2026-11-04T18:17:00Z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InformacjePubliczneInformacjeSektoraPublicznego</vt:lpwstr>
  </property>
  <property fmtid="{D5CDD505-2E9C-101B-9397-08002B2CF9AE}" pid="3" name="MFClassifiedBy">
    <vt:lpwstr>UxC4dwLulzfINJ8nQH+xvX5LNGipWa4BRSZhPgxsCvmKhASV7ZVVT3Rc1ZZW6DHE661RxD0AeyA1oAu49dfEgQ==</vt:lpwstr>
  </property>
  <property fmtid="{D5CDD505-2E9C-101B-9397-08002B2CF9AE}" pid="4" name="MFClassificationDate">
    <vt:lpwstr>2024-10-16T17:44:04.7453926+02:00</vt:lpwstr>
  </property>
  <property fmtid="{D5CDD505-2E9C-101B-9397-08002B2CF9AE}" pid="5" name="MFClassifiedBySID">
    <vt:lpwstr>UxC4dwLulzfINJ8nQH+xvX5LNGipWa4BRSZhPgxsCvm42mrIC/DSDv0ggS+FjUN/2v1BBotkLlY5aAiEhoi6uZFuPELwfiBw728zNF4f63X0Si72KATPkqjXo7Uq7ipg</vt:lpwstr>
  </property>
  <property fmtid="{D5CDD505-2E9C-101B-9397-08002B2CF9AE}" pid="6" name="MFGRNItemId">
    <vt:lpwstr>GRN-e1e80fad-6eea-4c77-a604-25a9efec5a2b</vt:lpwstr>
  </property>
  <property fmtid="{D5CDD505-2E9C-101B-9397-08002B2CF9AE}" pid="7" name="MFHash">
    <vt:lpwstr>RMQMzCYHKsrikHxsrDeypbUGnw9ICwtJnWVKXbGP0/Q=</vt:lpwstr>
  </property>
  <property fmtid="{D5CDD505-2E9C-101B-9397-08002B2CF9AE}" pid="8" name="MFVisualMarkingsSettings">
    <vt:lpwstr>HeaderAlignment=1;FooterAlignment=1</vt:lpwstr>
  </property>
  <property fmtid="{D5CDD505-2E9C-101B-9397-08002B2CF9AE}" pid="9" name="DLPManualFileClassification">
    <vt:lpwstr>{2755b7d9-e53d-4779-a40c-03797dcf43b3}</vt:lpwstr>
  </property>
  <property fmtid="{D5CDD505-2E9C-101B-9397-08002B2CF9AE}" pid="10" name="MFRefresh">
    <vt:lpwstr>False</vt:lpwstr>
  </property>
</Properties>
</file>