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4 (Apache licensed) using REFERENCE JAXB in Eclipse Adoptium Java 21.0.6 on Linux -->
    <w:p>
      <w:pPr>
        <w:pStyle w:val="TitleStyle"/>
      </w:pPr>
      <w:r>
        <w:t>VI Pa 27/26, Waloryzacja uposażenia funkcjonariuszy Służby Więziennej w kontekście podwyżki kwoty bazowej i zasady równego traktowania w 2023 roku. - Wyrok Sądu Okręgowego w Bydgoszczy</w:t>
      </w:r>
    </w:p>
    <w:p>
      <w:pPr>
        <w:pStyle w:val="NormalStyle"/>
      </w:pPr>
      <w:r>
        <w:t>LEX nr 4110982</w:t>
      </w:r>
    </w:p>
    <w:p>
      <w:pPr>
        <w:pStyle w:val="HeaderStyle"/>
      </w:pPr>
      <w:r>
        <w:t>Wyrok</w:t>
      </w:r>
    </w:p>
    <w:p>
      <w:pPr>
        <w:pStyle w:val="HeaderStyle"/>
      </w:pPr>
      <w:r>
        <w:t>Sądu Okręgowego w Bydgoszczy</w:t>
      </w:r>
    </w:p>
    <w:p>
      <w:pPr>
        <w:pStyle w:val="HeaderStyle"/>
      </w:pPr>
      <w:r>
        <w:t>z dnia 27 May 2026 r.</w:t>
      </w:r>
    </w:p>
    <w:p>
      <w:pPr>
        <w:pStyle w:val="HeaderStyle"/>
      </w:pPr>
      <w:r>
        <w:t>VI Pa 27/26</w:t>
      </w:r>
    </w:p>
    <w:p>
      <w:pPr>
        <w:pStyle w:val="HeaderStyle"/>
      </w:pPr>
      <w:r>
        <w:t>UZASADNIENIE</w:t>
      </w:r>
    </w:p>
    <w:p>
      <w:pPr>
        <w:spacing w:before="164" w:after="0"/>
        <w:ind w:left="0"/>
        <w:jc w:val="left"/>
        <w:textAlignment w:val="auto"/>
      </w:pPr>
      <w:r>
        <w:rPr>
          <w:rFonts w:ascii="Times New Roman"/>
          <w:b/>
          <w:i w:val="false"/>
          <w:color w:val="000000"/>
          <w:sz w:val="24"/>
          <w:lang w:val="pl-PL"/>
        </w:rPr>
        <w:t>Skład orzekający</w:t>
      </w:r>
    </w:p>
    <w:p>
      <w:pPr>
        <w:spacing w:before="25" w:after="0"/>
        <w:ind w:left="0"/>
        <w:jc w:val="left"/>
        <w:textAlignment w:val="auto"/>
      </w:pPr>
      <w:r>
        <w:rPr>
          <w:rFonts w:ascii="Times New Roman"/>
          <w:b w:val="false"/>
          <w:i w:val="false"/>
          <w:color w:val="000000"/>
          <w:sz w:val="24"/>
          <w:lang w:val="pl-PL"/>
        </w:rPr>
        <w:t>Przewodnicząca: Sędzia SO Anna Łączna.</w:t>
      </w:r>
    </w:p>
    <w:p>
      <w:pPr>
        <w:spacing w:before="164" w:after="0"/>
        <w:ind w:left="0"/>
        <w:jc w:val="left"/>
        <w:textAlignment w:val="auto"/>
      </w:pPr>
      <w:r>
        <w:rPr>
          <w:rFonts w:ascii="Times New Roman"/>
          <w:b/>
          <w:i w:val="false"/>
          <w:color w:val="000000"/>
          <w:sz w:val="24"/>
          <w:lang w:val="pl-PL"/>
        </w:rPr>
        <w:t>Sentencja</w:t>
      </w:r>
    </w:p>
    <w:p>
      <w:pPr>
        <w:spacing w:before="25" w:after="0"/>
        <w:ind w:left="0"/>
        <w:jc w:val="left"/>
        <w:textAlignment w:val="auto"/>
      </w:pPr>
      <w:r>
        <w:rPr>
          <w:rFonts w:ascii="Times New Roman"/>
          <w:b w:val="false"/>
          <w:i w:val="false"/>
          <w:color w:val="000000"/>
          <w:sz w:val="24"/>
          <w:lang w:val="pl-PL"/>
        </w:rPr>
        <w:t>Sąd Okręgowy (...) VI Wydział Pracy i Ubezpieczeń Społecznych po rozpoznaniu w dniu 27 maja 2026 r. w P. na posiedzeniu niejawnym sprawy z powództwa G. I. przeciwko Skarbowi Państwa- Zakładowi Karnemu w K. o uposażenie na skutek apelacji pozwanego od wyroku Sądu Rejonowego w (...) IV Wydziału Pracy z dnia 26 listopada 2025 r. sygn. akt IV P 52/25</w:t>
      </w:r>
    </w:p>
    <w:p>
      <w:pPr>
        <w:spacing w:before="25" w:after="0"/>
        <w:ind w:left="0"/>
        <w:jc w:val="left"/>
        <w:textAlignment w:val="auto"/>
      </w:pPr>
      <w:r>
        <w:rPr>
          <w:rFonts w:ascii="Times New Roman"/>
          <w:b w:val="false"/>
          <w:i w:val="false"/>
          <w:color w:val="000000"/>
          <w:sz w:val="24"/>
          <w:lang w:val="pl-PL"/>
        </w:rPr>
        <w:t>I. oddala apelację;</w:t>
      </w:r>
    </w:p>
    <w:p>
      <w:pPr>
        <w:spacing w:before="25" w:after="0"/>
        <w:ind w:left="0"/>
        <w:jc w:val="left"/>
        <w:textAlignment w:val="auto"/>
      </w:pPr>
      <w:r>
        <w:rPr>
          <w:rFonts w:ascii="Times New Roman"/>
          <w:b w:val="false"/>
          <w:i w:val="false"/>
          <w:color w:val="000000"/>
          <w:sz w:val="24"/>
          <w:lang w:val="pl-PL"/>
        </w:rPr>
        <w:t>II. zasądza od Skarbu Państwa- Zakładu Karnego w K. na rzecz powoda G. I. kwotę 120 zł (sto dwadzieścia złotych) z odsetkami ustawowymi za opóźnienie za czas po upływie tygodnia od dnia doręczenia niniejszego wyroku do dnia zapłaty tytułem zwrotu kosztów zastępstwa procesowego instancji odwoławczej.</w:t>
      </w:r>
    </w:p>
    <w:p>
      <w:pPr>
        <w:spacing w:before="164" w:after="0"/>
        <w:ind w:left="0"/>
        <w:jc w:val="left"/>
        <w:textAlignment w:val="auto"/>
      </w:pPr>
      <w:r>
        <w:rPr>
          <w:rFonts w:ascii="Times New Roman"/>
          <w:b/>
          <w:i w:val="false"/>
          <w:color w:val="000000"/>
          <w:sz w:val="24"/>
          <w:lang w:val="pl-PL"/>
        </w:rPr>
        <w:t>Uzasadnienie faktyczne</w:t>
      </w:r>
    </w:p>
    <w:p>
      <w:pPr>
        <w:spacing w:before="25" w:after="0"/>
        <w:ind w:left="0"/>
        <w:jc w:val="left"/>
        <w:textAlignment w:val="auto"/>
      </w:pPr>
      <w:r>
        <w:rPr>
          <w:rFonts w:ascii="Times New Roman"/>
          <w:b w:val="false"/>
          <w:i w:val="false"/>
          <w:color w:val="000000"/>
          <w:sz w:val="24"/>
          <w:lang w:val="pl-PL"/>
        </w:rPr>
        <w:t>Powód G. I. wniósł przeciwko Skarbowi Państwa - Zakładowi Karnemu w K. pozew o zasądzenie na jego rzecz kwoty 1.087 złotych tytułem wyrównania uposażenia zasadniczego oraz dodatku z tytułu wysługi lat w związku z podwyższeniem kwoty bazowej w 2023 r. wraz z odsetkami ustawowymi za opóźnienie liczonymi od 9 maja 2023 r. do dnia zapłaty, a także o zasądzenie kosztów procesu.</w:t>
      </w:r>
    </w:p>
    <w:p>
      <w:pPr>
        <w:spacing w:before="25" w:after="0"/>
        <w:ind w:left="0"/>
        <w:jc w:val="left"/>
        <w:textAlignment w:val="auto"/>
      </w:pPr>
      <w:r>
        <w:rPr>
          <w:rFonts w:ascii="Times New Roman"/>
          <w:b w:val="false"/>
          <w:i w:val="false"/>
          <w:color w:val="000000"/>
          <w:sz w:val="24"/>
          <w:lang w:val="pl-PL"/>
        </w:rPr>
        <w:t>W uzasadnieniu powód wskazał, że 14 lutego 2023 r. odszedł ze służby, przechodząc na zaopatrzenie emerytalne. Na dzień jego odejścia ze służby podstawą ustalenia uposażenia zasadniczego oraz dodatku z tytułu wysługi lat, jako składników uposażenia zależnych od wysokości kwoty bazowej, była kwota 1.614,69 złotych, to jest kwota bazowa obowiązująca dla funkcjonariuszy i żołnierzy w 2022 r. oraz mnożnika kwoty bazowej obowiązującego do chwili jego odejścia ze służby.</w:t>
      </w:r>
      <w:r>
        <w:rPr>
          <w:rFonts w:ascii="Times New Roman"/>
          <w:b w:val="false"/>
          <w:i w:val="false"/>
          <w:color w:val="000000"/>
          <w:sz w:val="24"/>
          <w:lang w:val="pl-PL"/>
        </w:rPr>
        <w:t xml:space="preserve"> </w:t>
      </w:r>
      <w:r>
        <w:rPr>
          <w:rFonts w:ascii="Times New Roman"/>
          <w:b w:val="false"/>
          <w:i w:val="false"/>
          <w:color w:val="000000"/>
          <w:sz w:val="24"/>
          <w:lang w:val="pl-PL"/>
        </w:rPr>
        <w:t xml:space="preserve">Mimo podwyższenia kwoty bazowej w 2023 r. do kwoty 1.740,64 złotych, strona pozwana odmówiła wypłacenia różnicy w zakresie wysokości uposażenia zasadniczego oraz dodatku z tytułu wysługi lat za okres służby pełnionej przez powoda w 2023 r. Powód podniósł, że przepis </w:t>
      </w:r>
      <w:r>
        <w:rPr>
          <w:rFonts w:ascii="Times New Roman"/>
          <w:b w:val="false"/>
          <w:i w:val="false"/>
          <w:color w:val="1b1b1b"/>
          <w:sz w:val="24"/>
          <w:lang w:val="pl-PL"/>
        </w:rPr>
        <w:t>art. 41 ust. 1-3</w:t>
      </w:r>
      <w:r>
        <w:rPr>
          <w:rFonts w:ascii="Times New Roman"/>
          <w:b w:val="false"/>
          <w:i w:val="false"/>
          <w:color w:val="000000"/>
          <w:sz w:val="24"/>
          <w:lang w:val="pl-PL"/>
        </w:rPr>
        <w:t xml:space="preserve"> ustawy z 1 grudnia 2022 r. o szczególnych rozwiązaniach służących realizacji ustawy budżetowej (Dz. U. z 2022 r. poz. 2666 z późn. zm., dalej określana również jako "ustawa okołobudżetowa"), w zakresie w jakim różnicował sytuację prawną funkcjonariuszy odchodzących ze służby do końca lutego 2023 r. wobec funkcjonariuszy tych samych formacji mundurowych pozostających w służbie po 1 marca 2023 r., dyskryminuje tych pierwszych, w oczywisty sposób naruszający fundamentalne zasady konstytucyjne wyrażone w </w:t>
      </w:r>
      <w:r>
        <w:rPr>
          <w:rFonts w:ascii="Times New Roman"/>
          <w:b w:val="false"/>
          <w:i w:val="false"/>
          <w:color w:val="1b1b1b"/>
          <w:sz w:val="24"/>
          <w:lang w:val="pl-PL"/>
        </w:rPr>
        <w:t>art. 2</w:t>
      </w:r>
      <w:r>
        <w:rPr>
          <w:rFonts w:ascii="Times New Roman"/>
          <w:b w:val="false"/>
          <w:i w:val="false"/>
          <w:color w:val="000000"/>
          <w:sz w:val="24"/>
          <w:lang w:val="pl-PL"/>
        </w:rPr>
        <w:t xml:space="preserve">, </w:t>
      </w:r>
      <w:r>
        <w:rPr>
          <w:rFonts w:ascii="Times New Roman"/>
          <w:b w:val="false"/>
          <w:i w:val="false"/>
          <w:color w:val="1b1b1b"/>
          <w:sz w:val="24"/>
          <w:lang w:val="pl-PL"/>
        </w:rPr>
        <w:t>art. 7</w:t>
      </w:r>
      <w:r>
        <w:rPr>
          <w:rFonts w:ascii="Times New Roman"/>
          <w:b w:val="false"/>
          <w:i w:val="false"/>
          <w:color w:val="000000"/>
          <w:sz w:val="24"/>
          <w:lang w:val="pl-PL"/>
        </w:rPr>
        <w:t xml:space="preserve">, </w:t>
      </w:r>
      <w:r>
        <w:rPr>
          <w:rFonts w:ascii="Times New Roman"/>
          <w:b w:val="false"/>
          <w:i w:val="false"/>
          <w:color w:val="1b1b1b"/>
          <w:sz w:val="24"/>
          <w:lang w:val="pl-PL"/>
        </w:rPr>
        <w:t>art. 32</w:t>
      </w:r>
      <w:r>
        <w:rPr>
          <w:rFonts w:ascii="Times New Roman"/>
          <w:b w:val="false"/>
          <w:i w:val="false"/>
          <w:color w:val="000000"/>
          <w:sz w:val="24"/>
          <w:lang w:val="pl-PL"/>
        </w:rPr>
        <w:t xml:space="preserve"> oraz </w:t>
      </w:r>
      <w:r>
        <w:rPr>
          <w:rFonts w:ascii="Times New Roman"/>
          <w:b w:val="false"/>
          <w:i w:val="false"/>
          <w:color w:val="1b1b1b"/>
          <w:sz w:val="24"/>
          <w:lang w:val="pl-PL"/>
        </w:rPr>
        <w:t>art. 60</w:t>
      </w:r>
      <w:r>
        <w:rPr>
          <w:rFonts w:ascii="Times New Roman"/>
          <w:b w:val="false"/>
          <w:i w:val="false"/>
          <w:color w:val="000000"/>
          <w:sz w:val="24"/>
          <w:lang w:val="pl-PL"/>
        </w:rPr>
        <w:t xml:space="preserve"> Konstytucji Rzeczypospolitej Polskiej, to jest zasadę zaufania obywatela do państwa, zasadę równości obywateli wobec prawa, zakaz dyskryminacji, zasadę legalizmu, a także zasadę równego dostępu do służby publicznej.</w:t>
      </w:r>
    </w:p>
    <w:p>
      <w:pPr>
        <w:spacing w:before="25" w:after="0"/>
        <w:ind w:left="0"/>
        <w:jc w:val="left"/>
        <w:textAlignment w:val="auto"/>
      </w:pPr>
      <w:r>
        <w:rPr>
          <w:rFonts w:ascii="Times New Roman"/>
          <w:b w:val="false"/>
          <w:i w:val="false"/>
          <w:color w:val="000000"/>
          <w:sz w:val="24"/>
          <w:lang w:val="pl-PL"/>
        </w:rPr>
        <w:t>W odpowiedzi na pozew strona pozwana Skarb Państwa - Zakład Karny w K. wniosła o oddalenie powództwa w całości i zasądzenie na rzecz pozwanego kosztów procesu.</w:t>
      </w:r>
    </w:p>
    <w:p>
      <w:pPr>
        <w:spacing w:before="25" w:after="0"/>
        <w:ind w:left="0"/>
        <w:jc w:val="left"/>
        <w:textAlignment w:val="auto"/>
      </w:pPr>
      <w:r>
        <w:rPr>
          <w:rFonts w:ascii="Times New Roman"/>
          <w:b w:val="false"/>
          <w:i w:val="false"/>
          <w:color w:val="000000"/>
          <w:sz w:val="24"/>
          <w:lang w:val="pl-PL"/>
        </w:rPr>
        <w:t>Uzasadniając swoje stanowisko strona pozwana wskazała, że do obliczenia uposażeń za 2023 r. miał zastosowanie art. 41 ust. 2 i 3 ustawy o szczególnych rozwiązaniach służących realizacji ustawy budżetowej na 2023 rok, który przewidział podwyżkę uposażeń funkcjonariuszy od 1 marca 2023 r. Jednocześnie pozwany zaprzeczył, aby doszło do dyskryminacji w zatrudnieniu powoda, który od 1 marca 2023 r. nie pozostawał już w stosunku służby, zaznaczając, że pozwany nie miał swobody w rozdysponowaniu środków pochodzących z budżetu państwa.</w:t>
      </w:r>
    </w:p>
    <w:p>
      <w:pPr>
        <w:spacing w:before="25" w:after="0"/>
        <w:ind w:left="0"/>
        <w:jc w:val="left"/>
        <w:textAlignment w:val="auto"/>
      </w:pPr>
      <w:r>
        <w:rPr>
          <w:rFonts w:ascii="Times New Roman"/>
          <w:b w:val="false"/>
          <w:i w:val="false"/>
          <w:color w:val="000000"/>
          <w:sz w:val="24"/>
          <w:lang w:val="pl-PL"/>
        </w:rPr>
        <w:t>W toku dalszego postępowania strony nie zmieniły swoich stanowisk procesowych.</w:t>
      </w:r>
    </w:p>
    <w:p>
      <w:pPr>
        <w:spacing w:before="25" w:after="0"/>
        <w:ind w:left="0"/>
        <w:jc w:val="left"/>
        <w:textAlignment w:val="auto"/>
      </w:pPr>
      <w:r>
        <w:rPr>
          <w:rFonts w:ascii="Times New Roman"/>
          <w:b w:val="false"/>
          <w:i w:val="false"/>
          <w:color w:val="000000"/>
          <w:sz w:val="24"/>
          <w:lang w:val="pl-PL"/>
        </w:rPr>
        <w:t>Wyrokiem z dnia 26 listopada 2025 r. Sąd Rejonowy w (...) IV Wydział Pracy:</w:t>
      </w:r>
    </w:p>
    <w:p>
      <w:pPr>
        <w:spacing w:before="25" w:after="0"/>
        <w:ind w:left="0"/>
        <w:jc w:val="left"/>
        <w:textAlignment w:val="auto"/>
      </w:pPr>
      <w:r>
        <w:rPr>
          <w:rFonts w:ascii="Times New Roman"/>
          <w:b w:val="false"/>
          <w:i w:val="false"/>
          <w:color w:val="000000"/>
          <w:sz w:val="24"/>
          <w:lang w:val="pl-PL"/>
        </w:rPr>
        <w:t>- w pkt I. zasądził od strony pozwanej Skarbu Państwa - Zakładu Karnego w K. na rzecz powoda G. I. 1.086,96 zł tytułem uposażenia wraz z odsetkami ustawowymi za opóźnienie liczonymi od tej kwoty od 9 maja 2023 r. do dnia zapłaty;</w:t>
      </w:r>
    </w:p>
    <w:p>
      <w:pPr>
        <w:spacing w:before="25" w:after="0"/>
        <w:ind w:left="0"/>
        <w:jc w:val="left"/>
        <w:textAlignment w:val="auto"/>
      </w:pPr>
      <w:r>
        <w:rPr>
          <w:rFonts w:ascii="Times New Roman"/>
          <w:b w:val="false"/>
          <w:i w:val="false"/>
          <w:color w:val="000000"/>
          <w:sz w:val="24"/>
          <w:lang w:val="pl-PL"/>
        </w:rPr>
        <w:t>- w pkt II. oddalił powództwo w pozostałym zakresie;</w:t>
      </w:r>
    </w:p>
    <w:p>
      <w:pPr>
        <w:spacing w:before="25" w:after="0"/>
        <w:ind w:left="0"/>
        <w:jc w:val="left"/>
        <w:textAlignment w:val="auto"/>
      </w:pPr>
      <w:r>
        <w:rPr>
          <w:rFonts w:ascii="Times New Roman"/>
          <w:b w:val="false"/>
          <w:i w:val="false"/>
          <w:color w:val="000000"/>
          <w:sz w:val="24"/>
          <w:lang w:val="pl-PL"/>
        </w:rPr>
        <w:t>- w pkt III. zasądził od strony pozwanej Skarbu Państwa - Zakładu Karnego w K. na rzecz powoda G. I. kwotę 302,50 zł tytułem kosztów procesu wraz z odsetkami ustawowymi za opóźnienie liczonymi od tej kwoty za czas od uprawomocnienia się wyroku do dnia zapłaty.</w:t>
      </w:r>
    </w:p>
    <w:p>
      <w:pPr>
        <w:spacing w:before="25" w:after="0"/>
        <w:ind w:left="0"/>
        <w:jc w:val="left"/>
        <w:textAlignment w:val="auto"/>
      </w:pPr>
      <w:r>
        <w:rPr>
          <w:rFonts w:ascii="Times New Roman"/>
          <w:b w:val="false"/>
          <w:i w:val="false"/>
          <w:color w:val="000000"/>
          <w:sz w:val="24"/>
          <w:lang w:val="pl-PL"/>
        </w:rPr>
        <w:t>Swoje rozstrzygnięcie Sąd Rejonowy oparł na następujących ustaleniach faktycznych i rozważaniach prawnych:</w:t>
      </w:r>
    </w:p>
    <w:p>
      <w:pPr>
        <w:spacing w:before="25" w:after="0"/>
        <w:ind w:left="0"/>
        <w:jc w:val="left"/>
        <w:textAlignment w:val="auto"/>
      </w:pPr>
      <w:r>
        <w:rPr>
          <w:rFonts w:ascii="Times New Roman"/>
          <w:b w:val="false"/>
          <w:i w:val="false"/>
          <w:color w:val="000000"/>
          <w:sz w:val="24"/>
          <w:lang w:val="pl-PL"/>
        </w:rPr>
        <w:t xml:space="preserve">G. I. pełnił służbę w Służbie Więziennej w okresie od 1 listopada 2002 r. do 14 lutego 2023 r. Stosunek służby ustał na podstawie </w:t>
      </w:r>
      <w:r>
        <w:rPr>
          <w:rFonts w:ascii="Times New Roman"/>
          <w:b w:val="false"/>
          <w:i w:val="false"/>
          <w:color w:val="1b1b1b"/>
          <w:sz w:val="24"/>
          <w:lang w:val="pl-PL"/>
        </w:rPr>
        <w:t>art. 96 ust. 1 pkt 2</w:t>
      </w:r>
      <w:r>
        <w:rPr>
          <w:rFonts w:ascii="Times New Roman"/>
          <w:b w:val="false"/>
          <w:i w:val="false"/>
          <w:color w:val="000000"/>
          <w:sz w:val="24"/>
          <w:lang w:val="pl-PL"/>
        </w:rPr>
        <w:t xml:space="preserve"> ustawy z 9 kwietnia 2010 r. o Służbie Więziennej (Dz. U. z 2025 r. poz. 1750).</w:t>
      </w:r>
    </w:p>
    <w:p>
      <w:pPr>
        <w:spacing w:before="25" w:after="0"/>
        <w:ind w:left="0"/>
        <w:jc w:val="left"/>
        <w:textAlignment w:val="auto"/>
      </w:pPr>
      <w:r>
        <w:rPr>
          <w:rFonts w:ascii="Times New Roman"/>
          <w:b w:val="false"/>
          <w:i w:val="false"/>
          <w:color w:val="000000"/>
          <w:sz w:val="24"/>
          <w:lang w:val="pl-PL"/>
        </w:rPr>
        <w:t>G. I. na ostatnim zajmowanym stanowisku służbowym przed odejściem ze służby pobierał uposażenie w łącznej wysokości 7.846 złotych, w tym:</w:t>
      </w:r>
    </w:p>
    <w:p>
      <w:pPr>
        <w:spacing w:before="25" w:after="0"/>
        <w:ind w:left="0"/>
        <w:jc w:val="left"/>
        <w:textAlignment w:val="auto"/>
      </w:pPr>
      <w:r>
        <w:rPr>
          <w:rFonts w:ascii="Times New Roman"/>
          <w:b w:val="false"/>
          <w:i w:val="false"/>
          <w:color w:val="000000"/>
          <w:sz w:val="24"/>
          <w:lang w:val="pl-PL"/>
        </w:rPr>
        <w:t>- 3.712 złotych tytułem uposażenia według zajmowanego stanowiska służbowego,</w:t>
      </w:r>
    </w:p>
    <w:p>
      <w:pPr>
        <w:spacing w:before="25" w:after="0"/>
        <w:ind w:left="0"/>
        <w:jc w:val="left"/>
        <w:textAlignment w:val="auto"/>
      </w:pPr>
      <w:r>
        <w:rPr>
          <w:rFonts w:ascii="Times New Roman"/>
          <w:b w:val="false"/>
          <w:i w:val="false"/>
          <w:color w:val="000000"/>
          <w:sz w:val="24"/>
          <w:lang w:val="pl-PL"/>
        </w:rPr>
        <w:t>- 1.188 złotych tytułem 32% wysługi,</w:t>
      </w:r>
    </w:p>
    <w:p>
      <w:pPr>
        <w:spacing w:before="25" w:after="0"/>
        <w:ind w:left="0"/>
        <w:jc w:val="left"/>
        <w:textAlignment w:val="auto"/>
      </w:pPr>
      <w:r>
        <w:rPr>
          <w:rFonts w:ascii="Times New Roman"/>
          <w:b w:val="false"/>
          <w:i w:val="false"/>
          <w:color w:val="000000"/>
          <w:sz w:val="24"/>
          <w:lang w:val="pl-PL"/>
        </w:rPr>
        <w:t>- 1.686 złotych tytułem dodatku za stopień służbowy</w:t>
      </w:r>
    </w:p>
    <w:p>
      <w:pPr>
        <w:spacing w:before="25" w:after="0"/>
        <w:ind w:left="0"/>
        <w:jc w:val="left"/>
        <w:textAlignment w:val="auto"/>
      </w:pPr>
      <w:r>
        <w:rPr>
          <w:rFonts w:ascii="Times New Roman"/>
          <w:b w:val="false"/>
          <w:i w:val="false"/>
          <w:color w:val="000000"/>
          <w:sz w:val="24"/>
          <w:lang w:val="pl-PL"/>
        </w:rPr>
        <w:t>- 1.260 złotych tytułem dodatku służbowego.</w:t>
      </w:r>
    </w:p>
    <w:p>
      <w:pPr>
        <w:spacing w:before="25" w:after="0"/>
        <w:ind w:left="0"/>
        <w:jc w:val="left"/>
        <w:textAlignment w:val="auto"/>
      </w:pPr>
      <w:r>
        <w:rPr>
          <w:rFonts w:ascii="Times New Roman"/>
          <w:b w:val="false"/>
          <w:i w:val="false"/>
          <w:color w:val="000000"/>
          <w:sz w:val="24"/>
          <w:lang w:val="pl-PL"/>
        </w:rPr>
        <w:t>G. I. na dzień odejścia ze służby miał łącznie 21 lat 3 miesiące 8 dni wysługi.</w:t>
      </w:r>
    </w:p>
    <w:p>
      <w:pPr>
        <w:spacing w:before="25" w:after="0"/>
        <w:ind w:left="0"/>
        <w:jc w:val="left"/>
        <w:textAlignment w:val="auto"/>
      </w:pPr>
      <w:r>
        <w:rPr>
          <w:rFonts w:ascii="Times New Roman"/>
          <w:b w:val="false"/>
          <w:i w:val="false"/>
          <w:color w:val="000000"/>
          <w:sz w:val="24"/>
          <w:lang w:val="pl-PL"/>
        </w:rPr>
        <w:t>G. I. wobec odejścia ze służby, została od 15 lutego 2023 r. przyznana emerytura w wysokości 6.952,44 złotych (uwzględniając waloryzację od 1 marca 2023 r.) oraz renta inwalidzka w wysokości 3.903,12 złotych.</w:t>
      </w:r>
    </w:p>
    <w:p>
      <w:pPr>
        <w:spacing w:before="25" w:after="0"/>
        <w:ind w:left="0"/>
        <w:jc w:val="left"/>
        <w:textAlignment w:val="auto"/>
      </w:pPr>
      <w:r>
        <w:rPr>
          <w:rFonts w:ascii="Times New Roman"/>
          <w:b w:val="false"/>
          <w:i w:val="false"/>
          <w:color w:val="000000"/>
          <w:sz w:val="24"/>
          <w:lang w:val="pl-PL"/>
        </w:rPr>
        <w:t xml:space="preserve">Z uwagi na zastosowanie wobec G. I., który odszedł ze służby przed 1 marca 2023 r., przepisu </w:t>
      </w:r>
      <w:r>
        <w:rPr>
          <w:rFonts w:ascii="Times New Roman"/>
          <w:b w:val="false"/>
          <w:i w:val="false"/>
          <w:color w:val="1b1b1b"/>
          <w:sz w:val="24"/>
          <w:lang w:val="pl-PL"/>
        </w:rPr>
        <w:t>art. 41 ust. 1</w:t>
      </w:r>
      <w:r>
        <w:rPr>
          <w:rFonts w:ascii="Times New Roman"/>
          <w:b w:val="false"/>
          <w:i w:val="false"/>
          <w:color w:val="000000"/>
          <w:sz w:val="24"/>
          <w:lang w:val="pl-PL"/>
        </w:rPr>
        <w:t xml:space="preserve"> i 2 ustawy z 1 grudnia 2022 r. o szczególnych rozwiązaniach służących realizacji ustawy budżetowej na rok 2023 i tym samym pozbawienie go waloryzacji kwoty bazowej za okres pozostawania w służbie w 2023 r., G. I. pismem z 15 kwietnia 2025 r. wezwał Zakład Karny w K. jako pracodawcę, do zapłaty kwoty 764 złotych tytułem waloryzacji kwoty bazowej za okres służby w 2023 r.</w:t>
      </w:r>
    </w:p>
    <w:p>
      <w:pPr>
        <w:spacing w:before="25" w:after="0"/>
        <w:ind w:left="0"/>
        <w:jc w:val="left"/>
        <w:textAlignment w:val="auto"/>
      </w:pPr>
      <w:r>
        <w:rPr>
          <w:rFonts w:ascii="Times New Roman"/>
          <w:b w:val="false"/>
          <w:i w:val="false"/>
          <w:color w:val="000000"/>
          <w:sz w:val="24"/>
          <w:lang w:val="pl-PL"/>
        </w:rPr>
        <w:t>Dyrektor Zakładu Karnego w K. w piśmie z 28 kwietnia 2025 r. wskazał, że roszczenie G. I. było całkowicie bezzasadne, jako iż rozporządzenie Ministra Sprawiedliwości z 27 marca 2023 r. zmieniające rozporządzenie w sprawie uposażenia zasadniczego funkcjonariuszy Służby Więziennej weszło w życie z dniem 30 marca 2023 r., a jednocześnie w sposób jednoznaczny wskazano, że przepisy rozporządzenia zmienianego w brzmieniu nadanym przedmiotowym rozporządzeniem, miały zastosowanie do uposażeń zasadniczych funkcjonariuszy Służby Więziennej należnych od 1 marca 2023 r. Zdaniem Dyrektora Zakładu Karnego w K. brak było tym samym podstaw prawnych do wyrównania należności tytułem waloryzacji kwoty bazowej za okres od 2 stycznia 2023 r. do 28 lutego 2023 r. i tym samym do zapłaty żądanej przez G. I. kwoty.</w:t>
      </w:r>
    </w:p>
    <w:p>
      <w:pPr>
        <w:spacing w:before="25" w:after="0"/>
        <w:ind w:left="0"/>
        <w:jc w:val="left"/>
        <w:textAlignment w:val="auto"/>
      </w:pPr>
      <w:r>
        <w:rPr>
          <w:rFonts w:ascii="Times New Roman"/>
          <w:b w:val="false"/>
          <w:i w:val="false"/>
          <w:color w:val="000000"/>
          <w:sz w:val="24"/>
          <w:lang w:val="pl-PL"/>
        </w:rPr>
        <w:t>W oparciu o tak poczynione ustalenia faktyczne Sąd Rejonowy zważył, że powództwo okazało się uzasadnione niemal w całości.</w:t>
      </w:r>
    </w:p>
    <w:p>
      <w:pPr>
        <w:spacing w:before="25" w:after="0"/>
        <w:ind w:left="0"/>
        <w:jc w:val="left"/>
        <w:textAlignment w:val="auto"/>
      </w:pPr>
      <w:r>
        <w:rPr>
          <w:rFonts w:ascii="Times New Roman"/>
          <w:b w:val="false"/>
          <w:i w:val="false"/>
          <w:color w:val="000000"/>
          <w:sz w:val="24"/>
          <w:lang w:val="pl-PL"/>
        </w:rPr>
        <w:t>Sąd Rejonowy wskazał, iż stan faktyczny sprawy nie stanowił sporu stron. Poza sporem pozostawało, że powód był funkcjonariuszem Służby Więziennej, który 14 lutego 2023 r. odszedł ze służby przechodząc na emeryturę. Bezsporne było także to, że strona pozwana odmówiła powodowi wypłaty wyrównania uposażenia za styczeń i luty 2023 r., powołując się na art. 41 ust. 2 i 3 ustawy o szczególnych rozwiązaniach służących realizacji ustawy budżetowej na 2023 rok.</w:t>
      </w:r>
    </w:p>
    <w:p>
      <w:pPr>
        <w:spacing w:before="25" w:after="0"/>
        <w:ind w:left="0"/>
        <w:jc w:val="left"/>
        <w:textAlignment w:val="auto"/>
      </w:pPr>
      <w:r>
        <w:rPr>
          <w:rFonts w:ascii="Times New Roman"/>
          <w:b w:val="false"/>
          <w:i w:val="false"/>
          <w:color w:val="000000"/>
          <w:sz w:val="24"/>
          <w:lang w:val="pl-PL"/>
        </w:rPr>
        <w:t xml:space="preserve">Istota sporu w rozpoznawanej sprawie dotyczy badania konstytucyjności art. 41 ustawy okołobudżetowej na 2023 rok, który w ocenie strony powodowej w przywołanym zakresie był niekonstytucyjny i tym samym uposażenie powoda za ostatnie dwa miesiące służby (styczeń i luty 2023 r.) powinno być wyliczone z pominięciem art. 41 ust. 2 tej ustawy (przewidującym dla uposażeń za styczeń i luty 2023 r. niższe kwoty bazowe niż dla wyliczenia uposażeń za marzec 2023 r. i następne miesiące) i uwzględniać wyższe kwoty bazowe wskazane w </w:t>
      </w:r>
      <w:r>
        <w:rPr>
          <w:rFonts w:ascii="Times New Roman"/>
          <w:b w:val="false"/>
          <w:i w:val="false"/>
          <w:color w:val="1b1b1b"/>
          <w:sz w:val="24"/>
          <w:lang w:val="pl-PL"/>
        </w:rPr>
        <w:t>art. 41 ust. 1</w:t>
      </w:r>
      <w:r>
        <w:rPr>
          <w:rFonts w:ascii="Times New Roman"/>
          <w:b w:val="false"/>
          <w:i w:val="false"/>
          <w:color w:val="000000"/>
          <w:sz w:val="24"/>
          <w:lang w:val="pl-PL"/>
        </w:rPr>
        <w:t xml:space="preserve"> cyt. ustawy, które ustawodawca przewidział dla wyliczania uposażeń dopiero od 1 marca 2023 r. Podkreślił, że ustawa okołobudżetowa, w tym art. 41, miała charakter epizodyczny.</w:t>
      </w:r>
      <w:r>
        <w:rPr>
          <w:rFonts w:ascii="Times New Roman"/>
          <w:b w:val="false"/>
          <w:i w:val="false"/>
          <w:color w:val="000000"/>
          <w:sz w:val="24"/>
          <w:lang w:val="pl-PL"/>
        </w:rPr>
        <w:t xml:space="preserve"> </w:t>
      </w:r>
      <w:r>
        <w:rPr>
          <w:rFonts w:ascii="Times New Roman"/>
          <w:b w:val="false"/>
          <w:i w:val="false"/>
          <w:color w:val="000000"/>
          <w:sz w:val="24"/>
          <w:lang w:val="pl-PL"/>
        </w:rPr>
        <w:t>W związku z powyższym co do zasady nie ma możliwości wprowadzenia zmian w tej ustawie. Konieczne jest zatem zbadanie tego czy art. 41 tej ustawy jest zgodny z Konstytucją.</w:t>
      </w:r>
    </w:p>
    <w:p>
      <w:pPr>
        <w:spacing w:before="25" w:after="0"/>
        <w:ind w:left="0"/>
        <w:jc w:val="left"/>
        <w:textAlignment w:val="auto"/>
      </w:pPr>
      <w:r>
        <w:rPr>
          <w:rFonts w:ascii="Times New Roman"/>
          <w:b w:val="false"/>
          <w:i w:val="false"/>
          <w:color w:val="000000"/>
          <w:sz w:val="24"/>
          <w:lang w:val="pl-PL"/>
        </w:rPr>
        <w:t>Jak wskazał Sąd I Instancji, w pierwszej kolejności wyjaśnienia wymagają kwestie proceduralne związane z właściwością sądu oraz jego składem, gdyż rzutują one na ważność postępowania.</w:t>
      </w:r>
      <w:r>
        <w:rPr>
          <w:rFonts w:ascii="Times New Roman"/>
          <w:b w:val="false"/>
          <w:i w:val="false"/>
          <w:color w:val="000000"/>
          <w:sz w:val="24"/>
          <w:lang w:val="pl-PL"/>
        </w:rPr>
        <w:t xml:space="preserve"> </w:t>
      </w:r>
      <w:r>
        <w:rPr>
          <w:rFonts w:ascii="Times New Roman"/>
          <w:b w:val="false"/>
          <w:i w:val="false"/>
          <w:color w:val="000000"/>
          <w:sz w:val="24"/>
          <w:lang w:val="pl-PL"/>
        </w:rPr>
        <w:t xml:space="preserve">Zauważyć należy, że zgodnie z </w:t>
      </w:r>
      <w:r>
        <w:rPr>
          <w:rFonts w:ascii="Times New Roman"/>
          <w:b w:val="false"/>
          <w:i w:val="false"/>
          <w:color w:val="1b1b1b"/>
          <w:sz w:val="24"/>
          <w:lang w:val="pl-PL"/>
        </w:rPr>
        <w:t>art. 1</w:t>
      </w:r>
      <w:r>
        <w:rPr>
          <w:rFonts w:ascii="Times New Roman"/>
          <w:b w:val="false"/>
          <w:i w:val="false"/>
          <w:color w:val="000000"/>
          <w:sz w:val="24"/>
          <w:lang w:val="pl-PL"/>
        </w:rPr>
        <w:t xml:space="preserve"> k.p.c., sprawami cywilnymi są sprawy ze stosunków z zakresu prawa cywilnego, rodzinnego i opiekuńczego oraz prawa pracy, jak również sprawy z zakresu ubezpieczeń społecznych oraz inne sprawy, do których przepisy Kodeksu postępowania cywilnego stosuje się z mocy ustaw szczególnych. Stosunki z zakresu prawa cywilnego, o których mowa w </w:t>
      </w:r>
      <w:r>
        <w:rPr>
          <w:rFonts w:ascii="Times New Roman"/>
          <w:b w:val="false"/>
          <w:i w:val="false"/>
          <w:color w:val="1b1b1b"/>
          <w:sz w:val="24"/>
          <w:lang w:val="pl-PL"/>
        </w:rPr>
        <w:t>art. 1</w:t>
      </w:r>
      <w:r>
        <w:rPr>
          <w:rFonts w:ascii="Times New Roman"/>
          <w:b w:val="false"/>
          <w:i w:val="false"/>
          <w:color w:val="000000"/>
          <w:sz w:val="24"/>
          <w:lang w:val="pl-PL"/>
        </w:rPr>
        <w:t xml:space="preserve"> k.p.c., pokrywają się z pojęciem "stosunków cywilnoprawnych" w rozumieniu </w:t>
      </w:r>
      <w:r>
        <w:rPr>
          <w:rFonts w:ascii="Times New Roman"/>
          <w:b w:val="false"/>
          <w:i w:val="false"/>
          <w:color w:val="1b1b1b"/>
          <w:sz w:val="24"/>
          <w:lang w:val="pl-PL"/>
        </w:rPr>
        <w:t>art. 1</w:t>
      </w:r>
      <w:r>
        <w:rPr>
          <w:rFonts w:ascii="Times New Roman"/>
          <w:b w:val="false"/>
          <w:i w:val="false"/>
          <w:color w:val="000000"/>
          <w:sz w:val="24"/>
          <w:lang w:val="pl-PL"/>
        </w:rPr>
        <w:t xml:space="preserve"> k.c. Powstanie stosunku cywilnoprawnego zależne jest od istnienia stanu faktycznego, z którym dyspozycja normy prawa cywilnego łączy wspomniany skutek.</w:t>
      </w:r>
    </w:p>
    <w:p>
      <w:pPr>
        <w:spacing w:before="25" w:after="0"/>
        <w:ind w:left="0"/>
        <w:jc w:val="left"/>
        <w:textAlignment w:val="auto"/>
      </w:pPr>
      <w:r>
        <w:rPr>
          <w:rFonts w:ascii="Times New Roman"/>
          <w:b w:val="false"/>
          <w:i w:val="false"/>
          <w:color w:val="000000"/>
          <w:sz w:val="24"/>
          <w:lang w:val="pl-PL"/>
        </w:rPr>
        <w:t xml:space="preserve">Według jednolitych poglądów judykatury, stosunek służbowy funkcjonariusza Służby Więziennej jest stosunkiem o charakterze administracyjnoprawnym. Sprawy o roszczenia dotyczące tego stosunku służbowego nie są zatem sprawami ze stosunków z zakresu wymienionych w </w:t>
      </w:r>
      <w:r>
        <w:rPr>
          <w:rFonts w:ascii="Times New Roman"/>
          <w:b w:val="false"/>
          <w:i w:val="false"/>
          <w:color w:val="1b1b1b"/>
          <w:sz w:val="24"/>
          <w:lang w:val="pl-PL"/>
        </w:rPr>
        <w:t>art. 1</w:t>
      </w:r>
      <w:r>
        <w:rPr>
          <w:rFonts w:ascii="Times New Roman"/>
          <w:b w:val="false"/>
          <w:i w:val="false"/>
          <w:color w:val="000000"/>
          <w:sz w:val="24"/>
          <w:lang w:val="pl-PL"/>
        </w:rPr>
        <w:t xml:space="preserve"> k.p.c. dziedzin prawa, wobec czego nie mają charakteru spraw cywilnych w tym rozumieniu.</w:t>
      </w:r>
      <w:r>
        <w:rPr>
          <w:rFonts w:ascii="Times New Roman"/>
          <w:b w:val="false"/>
          <w:i w:val="false"/>
          <w:color w:val="000000"/>
          <w:sz w:val="24"/>
          <w:lang w:val="pl-PL"/>
        </w:rPr>
        <w:t xml:space="preserve"> </w:t>
      </w:r>
      <w:r>
        <w:rPr>
          <w:rFonts w:ascii="Times New Roman"/>
          <w:b w:val="false"/>
          <w:i w:val="false"/>
          <w:color w:val="000000"/>
          <w:sz w:val="24"/>
          <w:lang w:val="pl-PL"/>
        </w:rPr>
        <w:t>Wolą ustawodawcy niektóre z nich przekazane zostały jednak do właściwości sądu pracy.</w:t>
      </w:r>
      <w:r>
        <w:rPr>
          <w:rFonts w:ascii="Times New Roman"/>
          <w:b w:val="false"/>
          <w:i w:val="false"/>
          <w:color w:val="000000"/>
          <w:sz w:val="24"/>
          <w:lang w:val="pl-PL"/>
        </w:rPr>
        <w:t xml:space="preserve"> </w:t>
      </w:r>
      <w:r>
        <w:rPr>
          <w:rFonts w:ascii="Times New Roman"/>
          <w:b w:val="false"/>
          <w:i w:val="false"/>
          <w:color w:val="000000"/>
          <w:sz w:val="24"/>
          <w:lang w:val="pl-PL"/>
        </w:rPr>
        <w:t>Zgodnie z art. 220 ustawy o Służbie Więziennej, spory o roszczenia ze stosunku służbowego funkcjonariuszy w sprawach niewymienionych w art. 218 ust. 1 i art. 219 ust. 1 i 2 (podlegających trybowi administracyjnoprawnemu) rozpatruje sąd właściwy w sprawach z zakresu prawa pracy.</w:t>
      </w:r>
    </w:p>
    <w:p>
      <w:pPr>
        <w:spacing w:before="25" w:after="0"/>
        <w:ind w:left="0"/>
        <w:jc w:val="left"/>
        <w:textAlignment w:val="auto"/>
      </w:pPr>
      <w:r>
        <w:rPr>
          <w:rFonts w:ascii="Times New Roman"/>
          <w:b w:val="false"/>
          <w:i w:val="false"/>
          <w:color w:val="000000"/>
          <w:sz w:val="24"/>
          <w:lang w:val="pl-PL"/>
        </w:rPr>
        <w:t xml:space="preserve">Skoro spory o roszczenia ze stosunku służbowego funkcjonariuszy w powyższym zakresie zostały przekazane do rozpoznania przez sądy pracy, to są one niewątpliwie sprawami cywilnymi w rozumieniu </w:t>
      </w:r>
      <w:r>
        <w:rPr>
          <w:rFonts w:ascii="Times New Roman"/>
          <w:b w:val="false"/>
          <w:i w:val="false"/>
          <w:color w:val="1b1b1b"/>
          <w:sz w:val="24"/>
          <w:lang w:val="pl-PL"/>
        </w:rPr>
        <w:t>art. 1</w:t>
      </w:r>
      <w:r>
        <w:rPr>
          <w:rFonts w:ascii="Times New Roman"/>
          <w:b w:val="false"/>
          <w:i w:val="false"/>
          <w:color w:val="000000"/>
          <w:sz w:val="24"/>
          <w:lang w:val="pl-PL"/>
        </w:rPr>
        <w:t xml:space="preserve"> k.p.c., jako "inne sprawy, do których przepisy Kodeksu postępowania cywilnego stosuje się z mocy ustaw szczególnych". W tej sytuacji należy uznać, że z art. 220 ustawy o Służbie Więziennej wynika wola ustawodawcy zastosowania do rozważanych sporów przepisów o postępowaniu odrębnym w sprawach z zakresu prawa pracy. W przeciwnym razie niezrozumiałe byłoby przekazanie tych spraw do rozpoznania przez sądy pracy (por. wyrok Sądu Najwyższego z 15 września 2015 r., </w:t>
      </w:r>
      <w:r>
        <w:rPr>
          <w:rFonts w:ascii="Times New Roman"/>
          <w:b w:val="false"/>
          <w:i w:val="false"/>
          <w:color w:val="1b1b1b"/>
          <w:sz w:val="24"/>
          <w:lang w:val="pl-PL"/>
        </w:rPr>
        <w:t>III PK 7/15</w:t>
      </w:r>
      <w:r>
        <w:rPr>
          <w:rFonts w:ascii="Times New Roman"/>
          <w:b w:val="false"/>
          <w:i w:val="false"/>
          <w:color w:val="000000"/>
          <w:sz w:val="24"/>
          <w:lang w:val="pl-PL"/>
        </w:rPr>
        <w:t xml:space="preserve">, LEX nr 1816597, uzasadnienie uchwały Sądu Najwyższego z 13 sierpnia 2013 r., </w:t>
      </w:r>
      <w:r>
        <w:rPr>
          <w:rFonts w:ascii="Times New Roman"/>
          <w:b w:val="false"/>
          <w:i w:val="false"/>
          <w:color w:val="1b1b1b"/>
          <w:sz w:val="24"/>
          <w:lang w:val="pl-PL"/>
        </w:rPr>
        <w:t>III PZP 4/13</w:t>
      </w:r>
      <w:r>
        <w:rPr>
          <w:rFonts w:ascii="Times New Roman"/>
          <w:b w:val="false"/>
          <w:i w:val="false"/>
          <w:color w:val="000000"/>
          <w:sz w:val="24"/>
          <w:lang w:val="pl-PL"/>
        </w:rPr>
        <w:t xml:space="preserve">, OSNP 2014 Nr 1, poz. 1, czy też dotyczący spraw w przedmiocie odpowiedzialności majątkowej żołnierzy wyrok Sądu Najwyższego z 16 czerwca 2009 r., </w:t>
      </w:r>
      <w:r>
        <w:rPr>
          <w:rFonts w:ascii="Times New Roman"/>
          <w:b w:val="false"/>
          <w:i w:val="false"/>
          <w:color w:val="1b1b1b"/>
          <w:sz w:val="24"/>
          <w:lang w:val="pl-PL"/>
        </w:rPr>
        <w:t>I PK 226/08</w:t>
      </w:r>
      <w:r>
        <w:rPr>
          <w:rFonts w:ascii="Times New Roman"/>
          <w:b w:val="false"/>
          <w:i w:val="false"/>
          <w:color w:val="000000"/>
          <w:sz w:val="24"/>
          <w:lang w:val="pl-PL"/>
        </w:rPr>
        <w:t>, OSNP 2011 nr 3-4, poz. 33).</w:t>
      </w:r>
    </w:p>
    <w:p>
      <w:pPr>
        <w:spacing w:before="25" w:after="0"/>
        <w:ind w:left="0"/>
        <w:jc w:val="left"/>
        <w:textAlignment w:val="auto"/>
      </w:pPr>
      <w:r>
        <w:rPr>
          <w:rFonts w:ascii="Times New Roman"/>
          <w:b w:val="false"/>
          <w:i w:val="false"/>
          <w:color w:val="000000"/>
          <w:sz w:val="24"/>
          <w:lang w:val="pl-PL"/>
        </w:rPr>
        <w:t>Przechodząc do właściwego rozpoznania sprawy Sąd I instancji wskazał, że powód dochodził zapłaty uzupełniającego uposażenia za czas, w jakim pozostawał w służbie w 2023 r., podnosząc zarzut niekonstytucyjności przepisów, które przyznawały podwyższenie wynagrodzeń funkcjonariuszy Służby Więziennej dopiero od 1 marca 2023 r., podczas gdy powód odszedł ze służby 14 lutego 2023 r. i tym samym otrzymał wynagrodzenie za służbę pełnioną w styczniu i lutym 2023 r. w niższej wysokości.</w:t>
      </w:r>
      <w:r>
        <w:rPr>
          <w:rFonts w:ascii="Times New Roman"/>
          <w:b w:val="false"/>
          <w:i w:val="false"/>
          <w:color w:val="000000"/>
          <w:sz w:val="24"/>
          <w:lang w:val="pl-PL"/>
        </w:rPr>
        <w:t xml:space="preserve"> </w:t>
      </w:r>
      <w:r>
        <w:rPr>
          <w:rFonts w:ascii="Times New Roman"/>
          <w:b w:val="false"/>
          <w:i w:val="false"/>
          <w:color w:val="000000"/>
          <w:sz w:val="24"/>
          <w:lang w:val="pl-PL"/>
        </w:rPr>
        <w:t>Należy zatem przejść do omówienia podstawy prawnej waloryzacji uposażenia funkcjonariuszy Służby Więziennej w 2023 r.</w:t>
      </w:r>
    </w:p>
    <w:p>
      <w:pPr>
        <w:spacing w:before="25" w:after="0"/>
        <w:ind w:left="0"/>
        <w:jc w:val="left"/>
        <w:textAlignment w:val="auto"/>
      </w:pPr>
      <w:r>
        <w:rPr>
          <w:rFonts w:ascii="Times New Roman"/>
          <w:b w:val="false"/>
          <w:i w:val="false"/>
          <w:color w:val="000000"/>
          <w:sz w:val="24"/>
          <w:lang w:val="pl-PL"/>
        </w:rPr>
        <w:t xml:space="preserve">Zgodnie z </w:t>
      </w:r>
      <w:r>
        <w:rPr>
          <w:rFonts w:ascii="Times New Roman"/>
          <w:b w:val="false"/>
          <w:i w:val="false"/>
          <w:color w:val="1b1b1b"/>
          <w:sz w:val="24"/>
          <w:lang w:val="pl-PL"/>
        </w:rPr>
        <w:t>art. 41 ust. 1</w:t>
      </w:r>
      <w:r>
        <w:rPr>
          <w:rFonts w:ascii="Times New Roman"/>
          <w:b w:val="false"/>
          <w:i w:val="false"/>
          <w:color w:val="000000"/>
          <w:sz w:val="24"/>
          <w:lang w:val="pl-PL"/>
        </w:rPr>
        <w:t xml:space="preserve"> i 2 ustawy z 1 grudnia 2022 r. o szczególnych rozwiązaniach służących realizacji ustawy budżetowej na rok 2023, kwoty bazowe ustalone w ustawie budżetowej na rok 2023 dla żołnierzy zawodowych, funkcjonariuszy oraz funkcjonariuszy Służby (...) miały być stosowane do obliczenia ich uposażeń w okresie od 1 marca 2023 r. do 31 grudnia 2023 r., natomiast do obliczenia ich uposażeń należnych od 1 stycznia 2023 r. do 28 lutego 2023 r. - zastosowanie miały znaleźć się bazowe ustalone w ustawie budżetowej na rok 2022.</w:t>
      </w:r>
      <w:r>
        <w:rPr>
          <w:rFonts w:ascii="Times New Roman"/>
          <w:b w:val="false"/>
          <w:i w:val="false"/>
          <w:color w:val="000000"/>
          <w:sz w:val="24"/>
          <w:lang w:val="pl-PL"/>
        </w:rPr>
        <w:t xml:space="preserve"> </w:t>
      </w:r>
      <w:r>
        <w:rPr>
          <w:rFonts w:ascii="Times New Roman"/>
          <w:b w:val="false"/>
          <w:i w:val="false"/>
          <w:color w:val="000000"/>
          <w:sz w:val="24"/>
          <w:lang w:val="pl-PL"/>
        </w:rPr>
        <w:t>Na mocy wskazanego przepisu do uposażeń za styczeń i luty 2023 rok zastosowanie miały więc kwoty bazowe jeszcze niepodwyższone, to jest ustalone na podstawie art. 9 ustawy budżetowej na rok 2023 w wysokości 1.614,69 złotych (art. 9 ust. 1 pkt 2 lit. c cyt. ustawy budżetowej na rok 2023), zaś w okresie od marca do grudnia 2023 r. - w podwyższonej wysokości 1.740,64 złotych (art. 9 ust. 1 pkt 2 lit. c cyt. ustawy budżetowej na rok 2023).</w:t>
      </w:r>
    </w:p>
    <w:p>
      <w:pPr>
        <w:spacing w:before="25" w:after="0"/>
        <w:ind w:left="0"/>
        <w:jc w:val="left"/>
        <w:textAlignment w:val="auto"/>
      </w:pPr>
      <w:r>
        <w:rPr>
          <w:rFonts w:ascii="Times New Roman"/>
          <w:b w:val="false"/>
          <w:i w:val="false"/>
          <w:color w:val="000000"/>
          <w:sz w:val="24"/>
          <w:lang w:val="pl-PL"/>
        </w:rPr>
        <w:t>Z kolei w myśl art. 41 ust. 3 przywołanej ustawy okołobudżetowej, uposażenie żołnierzy zawodowych, funkcjonariuszy oraz funkcjonariuszy Służby (...)-Skarbowej wypłacane w okresie od 1 marca 2023 r. do 31 grudnia 2023 r. miało podlegać każdorazowemu zwiększeniu o 1/5 kwoty różnicy pomiędzy uposażeniem należnym na dzień 1 marca 2023 r. obliczonym na podstawie kwoty bazowej ustalonej w ustawie budżetowej na rok 2023 odpowiednio dla żołnierzy zawodowych, funkcjonariuszy oraz funkcjonariuszy Służby (...)-Skarbowej, a uposażeniem należnym na dzień 1 stycznia 2023 r., obliczonym zgodnie z ust. 2. Oznaczało to, że brak waloryzacji uposażeń za styczeń i luty 2023 r. miał zostać niejako w ten właśnie sposób zrekompensowany funkcjonariuszom pełniącym służbę po 1 marca 2023 r. Podobne rozwiązanie nie zostało przez ustawodawcę przewidziane wobec funkcjonariuszy, którzy zakończyli pełnienie służby przed 1 marca 2023 r.</w:t>
      </w:r>
    </w:p>
    <w:p>
      <w:pPr>
        <w:spacing w:before="25" w:after="0"/>
        <w:ind w:left="0"/>
        <w:jc w:val="left"/>
        <w:textAlignment w:val="auto"/>
      </w:pPr>
      <w:r>
        <w:rPr>
          <w:rFonts w:ascii="Times New Roman"/>
          <w:b w:val="false"/>
          <w:i w:val="false"/>
          <w:color w:val="000000"/>
          <w:sz w:val="24"/>
          <w:lang w:val="pl-PL"/>
        </w:rPr>
        <w:t xml:space="preserve">Stosownie do treści z </w:t>
      </w:r>
      <w:r>
        <w:rPr>
          <w:rFonts w:ascii="Times New Roman"/>
          <w:b w:val="false"/>
          <w:i w:val="false"/>
          <w:color w:val="1b1b1b"/>
          <w:sz w:val="24"/>
          <w:lang w:val="pl-PL"/>
        </w:rPr>
        <w:t>art. 8 ust. 1</w:t>
      </w:r>
      <w:r>
        <w:rPr>
          <w:rFonts w:ascii="Times New Roman"/>
          <w:b w:val="false"/>
          <w:i w:val="false"/>
          <w:color w:val="000000"/>
          <w:sz w:val="24"/>
          <w:lang w:val="pl-PL"/>
        </w:rPr>
        <w:t xml:space="preserve"> ustawy z 23 grudnia 1999 r. o kształtowaniu wynagrodzeń w państwowej sferze budżetowej oraz o zmianie niektórych ustaw (Dz. U. z 2024 r. poz. 1356), który obejmuje również żołnierzy i funkcjonariuszy, podwyższenie wynagrodzeń dla pracowników państwowej sfery budżetowej następuje w ciągu 3 miesięcy po ogłoszeniu ustawy budżetowej, z wyrównaniem od 1 stycznia danego roku. Regułą jest więc wprowadzenie podwyżek w 3 miesiące od opublikowania ustawy budżetowej w Dzienniku Ustaw z wyrównaniem od stycznia danego roku. Tym samym funkcjonariusz albo żołnierz po 1 stycznia 2023 r. byłby objęty waloryzacją uposażenia, gdyby nie mechanizm wprowadzony przepisami epizodycznymi na 2023 rok.</w:t>
      </w:r>
    </w:p>
    <w:p>
      <w:pPr>
        <w:spacing w:before="25" w:after="0"/>
        <w:ind w:left="0"/>
        <w:jc w:val="left"/>
        <w:textAlignment w:val="auto"/>
      </w:pPr>
      <w:r>
        <w:rPr>
          <w:rFonts w:ascii="Times New Roman"/>
          <w:b w:val="false"/>
          <w:i w:val="false"/>
          <w:color w:val="000000"/>
          <w:sz w:val="24"/>
          <w:lang w:val="pl-PL"/>
        </w:rPr>
        <w:t>Uposażenie funkcjonariusza Służby Więziennej, zgodnie z art. 57 ust. 1 i 2 ustawy o Służbie Więziennej, składa się z uposażenia zasadniczego i dodatków do uposażenia zasadniczego o charakterze stałym. Wysokość uposażenia zasadniczego funkcjonariusza jest zaś uzależniona od grupy zaszeregowania jego stanowiska służbowego.</w:t>
      </w:r>
    </w:p>
    <w:p>
      <w:pPr>
        <w:spacing w:before="25" w:after="0"/>
        <w:ind w:left="0"/>
        <w:jc w:val="left"/>
        <w:textAlignment w:val="auto"/>
      </w:pPr>
      <w:r>
        <w:rPr>
          <w:rFonts w:ascii="Times New Roman"/>
          <w:b w:val="false"/>
          <w:i w:val="false"/>
          <w:color w:val="000000"/>
          <w:sz w:val="24"/>
          <w:lang w:val="pl-PL"/>
        </w:rPr>
        <w:t xml:space="preserve">Grupy zaszeregowania poszczególnych stanowisk oraz odpowiadające im mnożniki przeciętnego uposażenia stanowiące uposażenie zasadnicze funkcjonariusza Służby Więziennej są z kolei ustalane przez odpowiednie rozporządzenia Ministra Sprawiedliwości, tak też było w przypadku </w:t>
      </w:r>
      <w:r>
        <w:rPr>
          <w:rFonts w:ascii="Times New Roman"/>
          <w:b w:val="false"/>
          <w:i w:val="false"/>
          <w:color w:val="1b1b1b"/>
          <w:sz w:val="24"/>
          <w:lang w:val="pl-PL"/>
        </w:rPr>
        <w:t>rozporządzenia</w:t>
      </w:r>
      <w:r>
        <w:rPr>
          <w:rFonts w:ascii="Times New Roman"/>
          <w:b w:val="false"/>
          <w:i w:val="false"/>
          <w:color w:val="000000"/>
          <w:sz w:val="24"/>
          <w:lang w:val="pl-PL"/>
        </w:rPr>
        <w:t xml:space="preserve"> Ministra Sprawiedliwości z 18 grudnia 2022 r. w sprawie uposażenia zasadniczego funkcjonariuszy Służby Więziennej (Dz. U. poz. 2729), które weszło w życie 23 grudnia 2022 r. Następnie wysokość mnożników ustalonych w przywołanym rozporządzeniu została zmieniona </w:t>
      </w:r>
      <w:r>
        <w:rPr>
          <w:rFonts w:ascii="Times New Roman"/>
          <w:b w:val="false"/>
          <w:i w:val="false"/>
          <w:color w:val="1b1b1b"/>
          <w:sz w:val="24"/>
          <w:lang w:val="pl-PL"/>
        </w:rPr>
        <w:t>rozporządzeniem</w:t>
      </w:r>
      <w:r>
        <w:rPr>
          <w:rFonts w:ascii="Times New Roman"/>
          <w:b w:val="false"/>
          <w:i w:val="false"/>
          <w:color w:val="000000"/>
          <w:sz w:val="24"/>
          <w:lang w:val="pl-PL"/>
        </w:rPr>
        <w:t xml:space="preserve"> Ministra Sprawiedliwości z 27 marca 2023 r. zmieniającym rozporządzenie w sprawie uposażenia zasadniczego funkcjonariuszy Służby Więziennej (Dz. U. poz. 592), obowiązującym od 30 marca 2023 r.</w:t>
      </w:r>
    </w:p>
    <w:p>
      <w:pPr>
        <w:spacing w:before="25" w:after="0"/>
        <w:ind w:left="0"/>
        <w:jc w:val="left"/>
        <w:textAlignment w:val="auto"/>
      </w:pPr>
      <w:r>
        <w:rPr>
          <w:rFonts w:ascii="Times New Roman"/>
          <w:b w:val="false"/>
          <w:i w:val="false"/>
          <w:color w:val="000000"/>
          <w:sz w:val="24"/>
          <w:lang w:val="pl-PL"/>
        </w:rPr>
        <w:t xml:space="preserve">Jak dalej wskazał Sąd I instancji, należy zgodzić się ze stroną powodową, że </w:t>
      </w:r>
      <w:r>
        <w:rPr>
          <w:rFonts w:ascii="Times New Roman"/>
          <w:b w:val="false"/>
          <w:i w:val="false"/>
          <w:color w:val="1b1b1b"/>
          <w:sz w:val="24"/>
          <w:lang w:val="pl-PL"/>
        </w:rPr>
        <w:t>art. 41 ust. 1-3</w:t>
      </w:r>
      <w:r>
        <w:rPr>
          <w:rFonts w:ascii="Times New Roman"/>
          <w:b w:val="false"/>
          <w:i w:val="false"/>
          <w:color w:val="000000"/>
          <w:sz w:val="24"/>
          <w:lang w:val="pl-PL"/>
        </w:rPr>
        <w:t xml:space="preserve"> ustawy okołobudżetowej, doprowadził do nieuzasadnionego wyodrębnienia dwóch grup funkcjonariuszy - tych, którzy zakończyli pełnienie służby przed 1 marca 2023 r. w związku z przejściem na zaopatrzenie emerytalne i nie zostali objęci podwyżką w zakresie kwoty bazowej na rok 2023 oraz tych, który pozostali na służbie po tej dacie i nie dość, że zostali tą podwyżką objęci (zarówno w zakresie uposażenia zasadniczego i dodatku z tytułu wysługi lat), to dodatkowo otrzymali rekompensatę za brak waloryzacji za styczeń i luty 2023 r. poprzez zwiększenie uposażenia przez następne miesiące, od marca do grudnia 2023 r. (ust. 3). Strona pozwana, wobec obowiązywania wskazanych wcześniej przepisów, ustalała wysokość uposażeń swoich pracowników właśnie w oparciu o te przepisy, nie mając swobody ustalenia wysokości tych uposażeń.</w:t>
      </w:r>
    </w:p>
    <w:p>
      <w:pPr>
        <w:spacing w:before="25" w:after="0"/>
        <w:ind w:left="0"/>
        <w:jc w:val="left"/>
        <w:textAlignment w:val="auto"/>
      </w:pPr>
      <w:r>
        <w:rPr>
          <w:rFonts w:ascii="Times New Roman"/>
          <w:b w:val="false"/>
          <w:i w:val="false"/>
          <w:color w:val="000000"/>
          <w:sz w:val="24"/>
          <w:lang w:val="pl-PL"/>
        </w:rPr>
        <w:t xml:space="preserve">Jeżeli chodzi o ustawy okołobudżetowe, to należy podkreślić, że w systemie źródeł prawa są one aktami posiadającymi moc tożsamą do zwykłych ustaw. Odmienne ich usytuowane lub przypisanie im innego znaczenia, wymagałoby wyraźnej podstawy konstytucyjnej. Tym samym każda ustawa późniejsza może uchylić wcześniejszą, jak i ustanowić czasowe wyjątki od jej postanowień (tak też orzeczenie Trybunału Konstytucyjnego z 21 listopada 1994 r., K 4/94, OTK 1994 cz. II poz. 39). Nie ma więc w tym wypadku możliwości zastosowania reguł kolizyjnych wynikających z nadrzędności jednej ustawy nad drugą. Ustawa okołobudżetowa dotycząca 2023 r. ma charakter epizodyczny. Nie zmienia to jednak faktu, że polskie prawo konstytucyjne nie zna kategorii ustaw organicznych, a więc aktów o mocy prawnej sytuującej się pomiędzy konstytucją a zwykłą ustawą. Brak podstaw do różnicowania mocy prawnej ustawy o kształtowaniu wynagrodzeń w państwowej sferze budżetowej oraz o zmianie niektórych ustaw i twierdzenia, że jej moc jest wyższa niż moc ustaw okołobudżetowych (tak też orzeczenie Trybunału Konstytucyjnego z 8 listopada 1994 r., </w:t>
      </w:r>
      <w:r>
        <w:rPr>
          <w:rFonts w:ascii="Times New Roman"/>
          <w:b w:val="false"/>
          <w:i w:val="false"/>
          <w:color w:val="1b1b1b"/>
          <w:sz w:val="24"/>
          <w:lang w:val="pl-PL"/>
        </w:rPr>
        <w:t>P 1/94</w:t>
      </w:r>
      <w:r>
        <w:rPr>
          <w:rFonts w:ascii="Times New Roman"/>
          <w:b w:val="false"/>
          <w:i w:val="false"/>
          <w:color w:val="000000"/>
          <w:sz w:val="24"/>
          <w:lang w:val="pl-PL"/>
        </w:rPr>
        <w:t xml:space="preserve">). Tym samym przypadki materialnej sprzeczności pomiędzy ustawami muszą być rozpatrywane na tle ogólnych zasad określających wzajemne stosunki norm o tej samej mocy prawnej. Jedną z tych zasad jest przyznanie ustawie późniejszej nieograniczonej w zasadzie możliwości ingerowania w treść ustaw wcześniejszych i modyfikowania, uchylania czy zawieszania ich postanowień. W braku wyraźnie odmiennych stwierdzeń konstytucyjnych nie ma podstaw, aby uznać, że zasada lex posterior derogat priori nie może odnosić się do relacji pomiędzy ustawą "stałą", a epizodyczną. Trybunał Konstytucyjny zwracał już wielokrotnie uwagę, że relacje pomiędzy normami zawartymi w ustawach zwykłych nie mogą być rozpatrywane w kategoriach niezgodności hierarchicznej norm (tak m.in. wyrok Trybunału Konstytucyjnego z 18 października 1994 r., </w:t>
      </w:r>
      <w:r>
        <w:rPr>
          <w:rFonts w:ascii="Times New Roman"/>
          <w:b w:val="false"/>
          <w:i w:val="false"/>
          <w:color w:val="1b1b1b"/>
          <w:sz w:val="24"/>
          <w:lang w:val="pl-PL"/>
        </w:rPr>
        <w:t>K 2/94</w:t>
      </w:r>
      <w:r>
        <w:rPr>
          <w:rFonts w:ascii="Times New Roman"/>
          <w:b w:val="false"/>
          <w:i w:val="false"/>
          <w:color w:val="000000"/>
          <w:sz w:val="24"/>
          <w:lang w:val="pl-PL"/>
        </w:rPr>
        <w:t xml:space="preserve">, OTK 1994/2/36, a także </w:t>
      </w:r>
      <w:r>
        <w:rPr>
          <w:rFonts w:ascii="Times New Roman"/>
          <w:b w:val="false"/>
          <w:i w:val="false"/>
          <w:color w:val="1b1b1b"/>
          <w:sz w:val="24"/>
          <w:lang w:val="pl-PL"/>
        </w:rPr>
        <w:t>K 14/91</w:t>
      </w:r>
      <w:r>
        <w:rPr>
          <w:rFonts w:ascii="Times New Roman"/>
          <w:b w:val="false"/>
          <w:i w:val="false"/>
          <w:color w:val="000000"/>
          <w:sz w:val="24"/>
          <w:lang w:val="pl-PL"/>
        </w:rPr>
        <w:t xml:space="preserve">; </w:t>
      </w:r>
      <w:r>
        <w:rPr>
          <w:rFonts w:ascii="Times New Roman"/>
          <w:b w:val="false"/>
          <w:i w:val="false"/>
          <w:color w:val="1b1b1b"/>
          <w:sz w:val="24"/>
          <w:lang w:val="pl-PL"/>
        </w:rPr>
        <w:t>K 13/92</w:t>
      </w:r>
      <w:r>
        <w:rPr>
          <w:rFonts w:ascii="Times New Roman"/>
          <w:b w:val="false"/>
          <w:i w:val="false"/>
          <w:color w:val="000000"/>
          <w:sz w:val="24"/>
          <w:lang w:val="pl-PL"/>
        </w:rPr>
        <w:t xml:space="preserve">; </w:t>
      </w:r>
      <w:r>
        <w:rPr>
          <w:rFonts w:ascii="Times New Roman"/>
          <w:b w:val="false"/>
          <w:i w:val="false"/>
          <w:color w:val="1b1b1b"/>
          <w:sz w:val="24"/>
          <w:lang w:val="pl-PL"/>
        </w:rPr>
        <w:t>K 10/92</w:t>
      </w:r>
      <w:r>
        <w:rPr>
          <w:rFonts w:ascii="Times New Roman"/>
          <w:b w:val="false"/>
          <w:i w:val="false"/>
          <w:color w:val="000000"/>
          <w:sz w:val="24"/>
          <w:lang w:val="pl-PL"/>
        </w:rPr>
        <w:t>). Tym samym niezasadnym byłoby rozstrzygnięcie powstałej kolizji ustawowej poprzez wskazanie ustawy nadrzędnej (lex superior derogat legi inferiori).</w:t>
      </w:r>
    </w:p>
    <w:p>
      <w:pPr>
        <w:spacing w:before="25" w:after="0"/>
        <w:ind w:left="0"/>
        <w:jc w:val="left"/>
        <w:textAlignment w:val="auto"/>
      </w:pPr>
      <w:r>
        <w:rPr>
          <w:rFonts w:ascii="Times New Roman"/>
          <w:b w:val="false"/>
          <w:i w:val="false"/>
          <w:color w:val="000000"/>
          <w:sz w:val="24"/>
          <w:lang w:val="pl-PL"/>
        </w:rPr>
        <w:t xml:space="preserve">Rozstrzygając opisaną wcześniej kolizję ustaw, zdaniem Sądu Rejonowego należało rozważyć kwestię tego, czy normę kolizyjną dla stwierdzonej sprzeczności stanowi przepis </w:t>
      </w:r>
      <w:r>
        <w:rPr>
          <w:rFonts w:ascii="Times New Roman"/>
          <w:b w:val="false"/>
          <w:i w:val="false"/>
          <w:color w:val="1b1b1b"/>
          <w:sz w:val="24"/>
          <w:lang w:val="pl-PL"/>
        </w:rPr>
        <w:t>art. 109 ust. 5</w:t>
      </w:r>
      <w:r>
        <w:rPr>
          <w:rFonts w:ascii="Times New Roman"/>
          <w:b w:val="false"/>
          <w:i w:val="false"/>
          <w:color w:val="000000"/>
          <w:sz w:val="24"/>
          <w:lang w:val="pl-PL"/>
        </w:rPr>
        <w:t xml:space="preserve"> ustawy z 27 sierpnia 2009 r. o finansach publicznych (Dz. U. z 2023 r. poz. 1270), zgodnie z którym ustawa budżetowa nie może zawierać przepisów zmieniających inne ustawy. Należy jednak zauważyć, że przepisy dotyczące sposobu waloryzowania wynagrodzeń funkcjonariuszy Służby Więziennej nie były zamieszczane w ustawie budżetowej, lecz w ustawie okołobudżetowej, zaś przepis </w:t>
      </w:r>
      <w:r>
        <w:rPr>
          <w:rFonts w:ascii="Times New Roman"/>
          <w:b w:val="false"/>
          <w:i w:val="false"/>
          <w:color w:val="1b1b1b"/>
          <w:sz w:val="24"/>
          <w:lang w:val="pl-PL"/>
        </w:rPr>
        <w:t>art. 109 ust. 5</w:t>
      </w:r>
      <w:r>
        <w:rPr>
          <w:rFonts w:ascii="Times New Roman"/>
          <w:b w:val="false"/>
          <w:i w:val="false"/>
          <w:color w:val="000000"/>
          <w:sz w:val="24"/>
          <w:lang w:val="pl-PL"/>
        </w:rPr>
        <w:t xml:space="preserve"> dotyczy samej ustawy budżetowej. Co prawda brak legalnej definicji pojęcia "ustawy budżetowej", lecz ustawodawca posłużył się "pojęciem zastanym" (S. Rozmaryn, Konstytucja, s. 114-115). Uznaje się tym samym, że ustawa budżetowa to "akt prawny, uchwalany corocznie przez parlament w celu określenia budżetu państwa oraz jego powiązań z innymi planami finansowymi państwa" (C. (...), w: (...) PrFin, t. II, 2010, s. 201), "forma, w jakiej uchwalany jest budżet państwa". Ustawa budżetowa określana jest także jako "podstawa prowadzenia gospodarki finansowej państwa (publiczny akt zarządzania finansowego państwem)". Przepis </w:t>
      </w:r>
      <w:r>
        <w:rPr>
          <w:rFonts w:ascii="Times New Roman"/>
          <w:b w:val="false"/>
          <w:i w:val="false"/>
          <w:color w:val="1b1b1b"/>
          <w:sz w:val="24"/>
          <w:lang w:val="pl-PL"/>
        </w:rPr>
        <w:t>art. 109 ust. 5</w:t>
      </w:r>
      <w:r>
        <w:rPr>
          <w:rFonts w:ascii="Times New Roman"/>
          <w:b w:val="false"/>
          <w:i w:val="false"/>
          <w:color w:val="000000"/>
          <w:sz w:val="24"/>
          <w:lang w:val="pl-PL"/>
        </w:rPr>
        <w:t xml:space="preserve"> ustawy o finansach publicznych wprowadza zakaz obładowania ustawy budżetowej, przy czym zakaz ten omijany jest właśnie z pomocą tzw. ustaw okołobudżetowych, których pojawienie się związane było z wyrażeniem przez Trybunał Konstytucyjny tejże zasady obładowania ustawy budżetowej (por. M. Zubik, Budżet, s. 111-118; C. Kosikowski, Odmienności, s. 13, Ustawa o finansach publicznych. Komentarz, red. dr D. P., 2023). Ustawa dotycząca wykonania budżetu w 2023 r. należy do takich właśnie ustaw okołobudżetowych i ich zakaz wyrażony w </w:t>
      </w:r>
      <w:r>
        <w:rPr>
          <w:rFonts w:ascii="Times New Roman"/>
          <w:b w:val="false"/>
          <w:i w:val="false"/>
          <w:color w:val="1b1b1b"/>
          <w:sz w:val="24"/>
          <w:lang w:val="pl-PL"/>
        </w:rPr>
        <w:t>art. 109 ust. 5</w:t>
      </w:r>
      <w:r>
        <w:rPr>
          <w:rFonts w:ascii="Times New Roman"/>
          <w:b w:val="false"/>
          <w:i w:val="false"/>
          <w:color w:val="000000"/>
          <w:sz w:val="24"/>
          <w:lang w:val="pl-PL"/>
        </w:rPr>
        <w:t xml:space="preserve"> ustawy o finansach publicznych nie dotyczy. Tym samym </w:t>
      </w:r>
      <w:r>
        <w:rPr>
          <w:rFonts w:ascii="Times New Roman"/>
          <w:b w:val="false"/>
          <w:i w:val="false"/>
          <w:color w:val="1b1b1b"/>
          <w:sz w:val="24"/>
          <w:lang w:val="pl-PL"/>
        </w:rPr>
        <w:t>art. 109 ust. 5</w:t>
      </w:r>
      <w:r>
        <w:rPr>
          <w:rFonts w:ascii="Times New Roman"/>
          <w:b w:val="false"/>
          <w:i w:val="false"/>
          <w:color w:val="000000"/>
          <w:sz w:val="24"/>
          <w:lang w:val="pl-PL"/>
        </w:rPr>
        <w:t xml:space="preserve"> ustawy o finansach publicznych nie rozstrzyga ocenianej w niniejszej sprawie kolizji ustaw.</w:t>
      </w:r>
    </w:p>
    <w:p>
      <w:pPr>
        <w:spacing w:before="25" w:after="0"/>
        <w:ind w:left="0"/>
        <w:jc w:val="left"/>
        <w:textAlignment w:val="auto"/>
      </w:pPr>
      <w:r>
        <w:rPr>
          <w:rFonts w:ascii="Times New Roman"/>
          <w:b w:val="false"/>
          <w:i w:val="false"/>
          <w:color w:val="000000"/>
          <w:sz w:val="24"/>
          <w:lang w:val="pl-PL"/>
        </w:rPr>
        <w:t>W następnej kolejności należało więc przejść do rozważań dotyczących zgodności wykreowanego na 2023 rok modelu kształtowania waloryzacji wynagrodzeń funkcjonariuszy Służby Więziennej.</w:t>
      </w:r>
    </w:p>
    <w:p>
      <w:pPr>
        <w:spacing w:before="25" w:after="0"/>
        <w:ind w:left="0"/>
        <w:jc w:val="left"/>
        <w:textAlignment w:val="auto"/>
      </w:pPr>
      <w:r>
        <w:rPr>
          <w:rFonts w:ascii="Times New Roman"/>
          <w:b w:val="false"/>
          <w:i w:val="false"/>
          <w:color w:val="000000"/>
          <w:sz w:val="24"/>
          <w:lang w:val="pl-PL"/>
        </w:rPr>
        <w:t xml:space="preserve">W polskim porządku prawno-konstytucyjnym Trybunał Konstytucyjny jest jedynym organem dysponującym kompetencją do eliminacji przepisu z obrotu prawnego. Sposobem rozstrzygnięcia wątpliwości dotyczących zgodności przepisu ustawy z postanowieniami Konstytucji jest skierowanie pytania prawnego przez sąd do Trybunału, o czym stanowi </w:t>
      </w:r>
      <w:r>
        <w:rPr>
          <w:rFonts w:ascii="Times New Roman"/>
          <w:b w:val="false"/>
          <w:i w:val="false"/>
          <w:color w:val="1b1b1b"/>
          <w:sz w:val="24"/>
          <w:lang w:val="pl-PL"/>
        </w:rPr>
        <w:t>art. 193</w:t>
      </w:r>
      <w:r>
        <w:rPr>
          <w:rFonts w:ascii="Times New Roman"/>
          <w:b w:val="false"/>
          <w:i w:val="false"/>
          <w:color w:val="000000"/>
          <w:sz w:val="24"/>
          <w:lang w:val="pl-PL"/>
        </w:rPr>
        <w:t xml:space="preserve"> Konstytucji RP, zgodnie z którym każdy sąd może przedstawić Trybunałowi Konstytucyjnemu pytanie prawne co do zgodności aktu normatywnego z Konstytucją, ratyfikowanymi umowami międzynarodowymi lub ustawą, jeżeli od odpowiedzi na pytanie prawne zależy rozstrzygnięcie sprawy toczącej się przed sądem. Tylko ten organ może w sposób władczy orzec, że zaskarżony przepis ustawy jest zgodny z Konstytucją, względnie pozbawić go mocy obowiązującej w razie jego niekonstytucyjności (</w:t>
      </w:r>
      <w:r>
        <w:rPr>
          <w:rFonts w:ascii="Times New Roman"/>
          <w:b w:val="false"/>
          <w:i w:val="false"/>
          <w:color w:val="1b1b1b"/>
          <w:sz w:val="24"/>
          <w:lang w:val="pl-PL"/>
        </w:rPr>
        <w:t>art. 190</w:t>
      </w:r>
      <w:r>
        <w:rPr>
          <w:rFonts w:ascii="Times New Roman"/>
          <w:b w:val="false"/>
          <w:i w:val="false"/>
          <w:color w:val="000000"/>
          <w:sz w:val="24"/>
          <w:lang w:val="pl-PL"/>
        </w:rPr>
        <w:t xml:space="preserve"> Konstytucji RP). Sąd natomiast jest obowiązany stosować ustawę, bowiem według </w:t>
      </w:r>
      <w:r>
        <w:rPr>
          <w:rFonts w:ascii="Times New Roman"/>
          <w:b w:val="false"/>
          <w:i w:val="false"/>
          <w:color w:val="1b1b1b"/>
          <w:sz w:val="24"/>
          <w:lang w:val="pl-PL"/>
        </w:rPr>
        <w:t>art. 178 ust. 1</w:t>
      </w:r>
      <w:r>
        <w:rPr>
          <w:rFonts w:ascii="Times New Roman"/>
          <w:b w:val="false"/>
          <w:i w:val="false"/>
          <w:color w:val="000000"/>
          <w:sz w:val="24"/>
          <w:lang w:val="pl-PL"/>
        </w:rPr>
        <w:t xml:space="preserve"> Konstytucji RP sędziowie podlegają tylko Konstytucji i ustawom.</w:t>
      </w:r>
    </w:p>
    <w:p>
      <w:pPr>
        <w:spacing w:before="25" w:after="0"/>
        <w:ind w:left="0"/>
        <w:jc w:val="left"/>
        <w:textAlignment w:val="auto"/>
      </w:pPr>
      <w:r>
        <w:rPr>
          <w:rFonts w:ascii="Times New Roman"/>
          <w:b w:val="false"/>
          <w:i w:val="false"/>
          <w:color w:val="000000"/>
          <w:sz w:val="24"/>
          <w:lang w:val="pl-PL"/>
        </w:rPr>
        <w:t>Brak podstaw do skierowania w tej sprawie pytania do Trybunału Konstytucyjnego.</w:t>
      </w:r>
      <w:r>
        <w:rPr>
          <w:rFonts w:ascii="Times New Roman"/>
          <w:b w:val="false"/>
          <w:i w:val="false"/>
          <w:color w:val="000000"/>
          <w:sz w:val="24"/>
          <w:lang w:val="pl-PL"/>
        </w:rPr>
        <w:t xml:space="preserve"> </w:t>
      </w:r>
      <w:r>
        <w:rPr>
          <w:rFonts w:ascii="Times New Roman"/>
          <w:b w:val="false"/>
          <w:i w:val="false"/>
          <w:color w:val="000000"/>
          <w:sz w:val="24"/>
          <w:lang w:val="pl-PL"/>
        </w:rPr>
        <w:t>Przede wszystkim ustawa okołobudżetowa ma charakter epizodyczny i po upływie 2023 r. co do zasady nie ma możliwości zbadania jej zgodności z Konstytucją. Poza tym, orzekanie o zgodności ustaw z Konstytucją (</w:t>
      </w:r>
      <w:r>
        <w:rPr>
          <w:rFonts w:ascii="Times New Roman"/>
          <w:b w:val="false"/>
          <w:i w:val="false"/>
          <w:color w:val="1b1b1b"/>
          <w:sz w:val="24"/>
          <w:lang w:val="pl-PL"/>
        </w:rPr>
        <w:t>art. 188 ust. 1</w:t>
      </w:r>
      <w:r>
        <w:rPr>
          <w:rFonts w:ascii="Times New Roman"/>
          <w:b w:val="false"/>
          <w:i w:val="false"/>
          <w:color w:val="000000"/>
          <w:sz w:val="24"/>
          <w:lang w:val="pl-PL"/>
        </w:rPr>
        <w:t xml:space="preserve"> Konstytucji RP) nie jest tożsame z dokonywaniem oceny konstytucyjności przepisu mającego zastosowanie w konkretnej sprawie przez sąd orzekający. Należy zauważyć, że Sąd Najwyższy już w uchwale z 4 lipca 2001 r., </w:t>
      </w:r>
      <w:r>
        <w:rPr>
          <w:rFonts w:ascii="Times New Roman"/>
          <w:b w:val="false"/>
          <w:i w:val="false"/>
          <w:color w:val="1b1b1b"/>
          <w:sz w:val="24"/>
          <w:lang w:val="pl-PL"/>
        </w:rPr>
        <w:t>III ZP 12/01</w:t>
      </w:r>
      <w:r>
        <w:rPr>
          <w:rFonts w:ascii="Times New Roman"/>
          <w:b w:val="false"/>
          <w:i w:val="false"/>
          <w:color w:val="000000"/>
          <w:sz w:val="24"/>
          <w:lang w:val="pl-PL"/>
        </w:rPr>
        <w:t>, (OSNP 2002/2/34), a więc w uchwale podjętej na długo przed aktualnymi sporami dotyczącymi praworządności i roli Trybunału, podkreślił, że odmowa zastosowania przepisu ustawy uznanego przez sąd za sprzeczny z Konstytucją nie narusza kompetencji Trybunału Konstytucyjnego. Istota tego stanowiska bazowała na wskazaniu, że przedmiot orzekania sądu dotyczy indywidualnego stosunku społecznego, a Trybunał Konstytucyjny orzeka o prawie. Wykonując władzę sądowniczą (</w:t>
      </w:r>
      <w:r>
        <w:rPr>
          <w:rFonts w:ascii="Times New Roman"/>
          <w:b w:val="false"/>
          <w:i w:val="false"/>
          <w:color w:val="1b1b1b"/>
          <w:sz w:val="24"/>
          <w:lang w:val="pl-PL"/>
        </w:rPr>
        <w:t>art. 10 ust. 2</w:t>
      </w:r>
      <w:r>
        <w:rPr>
          <w:rFonts w:ascii="Times New Roman"/>
          <w:b w:val="false"/>
          <w:i w:val="false"/>
          <w:color w:val="000000"/>
          <w:sz w:val="24"/>
          <w:lang w:val="pl-PL"/>
        </w:rPr>
        <w:t xml:space="preserve"> Konstytucji) sąd sprawuje wymiar sprawiedliwości (</w:t>
      </w:r>
      <w:r>
        <w:rPr>
          <w:rFonts w:ascii="Times New Roman"/>
          <w:b w:val="false"/>
          <w:i w:val="false"/>
          <w:color w:val="1b1b1b"/>
          <w:sz w:val="24"/>
          <w:lang w:val="pl-PL"/>
        </w:rPr>
        <w:t>art. 175 ust. 1</w:t>
      </w:r>
      <w:r>
        <w:rPr>
          <w:rFonts w:ascii="Times New Roman"/>
          <w:b w:val="false"/>
          <w:i w:val="false"/>
          <w:color w:val="000000"/>
          <w:sz w:val="24"/>
          <w:lang w:val="pl-PL"/>
        </w:rPr>
        <w:t xml:space="preserve"> Konstytucji). Z kolei rola Trybunału przypomina bardziej władzę ustawodawczą tzw. ustawodawcy negatywnego (mimo że </w:t>
      </w:r>
      <w:r>
        <w:rPr>
          <w:rFonts w:ascii="Times New Roman"/>
          <w:b w:val="false"/>
          <w:i w:val="false"/>
          <w:color w:val="1b1b1b"/>
          <w:sz w:val="24"/>
          <w:lang w:val="pl-PL"/>
        </w:rPr>
        <w:t>art. 10 ust. 2</w:t>
      </w:r>
      <w:r>
        <w:rPr>
          <w:rFonts w:ascii="Times New Roman"/>
          <w:b w:val="false"/>
          <w:i w:val="false"/>
          <w:color w:val="000000"/>
          <w:sz w:val="24"/>
          <w:lang w:val="pl-PL"/>
        </w:rPr>
        <w:t xml:space="preserve"> Konstytucji zalicza go do władzy sądowniczej).</w:t>
      </w:r>
    </w:p>
    <w:p>
      <w:pPr>
        <w:spacing w:before="25" w:after="0"/>
        <w:ind w:left="0"/>
        <w:jc w:val="left"/>
        <w:textAlignment w:val="auto"/>
      </w:pPr>
      <w:r>
        <w:rPr>
          <w:rFonts w:ascii="Times New Roman"/>
          <w:b w:val="false"/>
          <w:i w:val="false"/>
          <w:color w:val="000000"/>
          <w:sz w:val="24"/>
          <w:lang w:val="pl-PL"/>
        </w:rPr>
        <w:t xml:space="preserve">Należy także wskazać na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 RP, który daje podstawę do bezpośredniego stosowania Konstytucji w sytuacji, kiedy sąd stwierdzi konflikt między normami (zasadami, wartościami) konstytucyjnymi, a przepisem ustawy, który ma zastosować. Poprzez taki zabieg sąd nie wyeliminuje kwestionowanego przepisu z obrotu prawnego, lecz odmówi jego zastosowania w indywidualnej sprawie. Staje się to często aktualne w stosunkach prawnopracowniczych. Do bezpośredniego zastosowania Konstytucji sensu stricto doszło np. w wyroku Izby Administracyjnej, Pracy i Ubezpieczeń Społecznych Sądu Najwyższego z 7 grudnia 1999 r., </w:t>
      </w:r>
      <w:r>
        <w:rPr>
          <w:rFonts w:ascii="Times New Roman"/>
          <w:b w:val="false"/>
          <w:i w:val="false"/>
          <w:color w:val="1b1b1b"/>
          <w:sz w:val="24"/>
          <w:lang w:val="pl-PL"/>
        </w:rPr>
        <w:t>I PKN 438/99</w:t>
      </w:r>
      <w:r>
        <w:rPr>
          <w:rFonts w:ascii="Times New Roman"/>
          <w:b w:val="false"/>
          <w:i w:val="false"/>
          <w:color w:val="000000"/>
          <w:sz w:val="24"/>
          <w:lang w:val="pl-PL"/>
        </w:rPr>
        <w:t xml:space="preserve">, OSP 2000/11/174), w którym odmówiono zastosowania w sprawie regulacji ustawowej zawartej w </w:t>
      </w:r>
      <w:r>
        <w:rPr>
          <w:rFonts w:ascii="Times New Roman"/>
          <w:b w:val="false"/>
          <w:i w:val="false"/>
          <w:color w:val="1b1b1b"/>
          <w:sz w:val="24"/>
          <w:lang w:val="pl-PL"/>
        </w:rPr>
        <w:t>art. 240 § 3 pkt 1</w:t>
      </w:r>
      <w:r>
        <w:rPr>
          <w:rFonts w:ascii="Times New Roman"/>
          <w:b w:val="false"/>
          <w:i w:val="false"/>
          <w:color w:val="000000"/>
          <w:sz w:val="24"/>
          <w:lang w:val="pl-PL"/>
        </w:rPr>
        <w:t xml:space="preserve"> k.p. (por. również wyrok Sadu Najwyższego z 7 kwietnia 1998 r., </w:t>
      </w:r>
      <w:r>
        <w:rPr>
          <w:rFonts w:ascii="Times New Roman"/>
          <w:b w:val="false"/>
          <w:i w:val="false"/>
          <w:color w:val="1b1b1b"/>
          <w:sz w:val="24"/>
          <w:lang w:val="pl-PL"/>
        </w:rPr>
        <w:t>I PKN 90/98</w:t>
      </w:r>
      <w:r>
        <w:rPr>
          <w:rFonts w:ascii="Times New Roman"/>
          <w:b w:val="false"/>
          <w:i w:val="false"/>
          <w:color w:val="000000"/>
          <w:sz w:val="24"/>
          <w:lang w:val="pl-PL"/>
        </w:rPr>
        <w:t>, OSNP 2000/1/6).</w:t>
      </w:r>
    </w:p>
    <w:p>
      <w:pPr>
        <w:spacing w:before="25" w:after="0"/>
        <w:ind w:left="0"/>
        <w:jc w:val="left"/>
        <w:textAlignment w:val="auto"/>
      </w:pPr>
      <w:r>
        <w:rPr>
          <w:rFonts w:ascii="Times New Roman"/>
          <w:b w:val="false"/>
          <w:i w:val="false"/>
          <w:color w:val="000000"/>
          <w:sz w:val="24"/>
          <w:lang w:val="pl-PL"/>
        </w:rPr>
        <w:t>Rozproszona kontrola konstytucyjności prawa następuje na tle konkretnego stanu faktycznego w konkretnej sprawie, koncentrując się na procesie wykładni i stosowania prawa. W tym zakresie wykorzystywanie koncepcji rozproszonej kontroli konstytucyjności prawa służy zapobieganiu wydawania orzeczeń na podstawie niezgodnych z Konstytucją przepisów ustawy, prowadzących do niesprawiedliwego rozstrzygnięcia, a więc ochronie praw podmiotów uczestniczących w prowadzonym przed sądem postępowaniu.</w:t>
      </w:r>
    </w:p>
    <w:p>
      <w:pPr>
        <w:spacing w:before="25" w:after="0"/>
        <w:ind w:left="0"/>
        <w:jc w:val="left"/>
        <w:textAlignment w:val="auto"/>
      </w:pPr>
      <w:r>
        <w:rPr>
          <w:rFonts w:ascii="Times New Roman"/>
          <w:b w:val="false"/>
          <w:i w:val="false"/>
          <w:color w:val="000000"/>
          <w:sz w:val="24"/>
          <w:lang w:val="pl-PL"/>
        </w:rPr>
        <w:t xml:space="preserve">Oceniając zatem kwestionowane przez powoda rozwiązania prawne z punktu widzenia norm konstytucyjnych Sąd I instancji podniósł, że zgodnie z </w:t>
      </w:r>
      <w:r>
        <w:rPr>
          <w:rFonts w:ascii="Times New Roman"/>
          <w:b w:val="false"/>
          <w:i w:val="false"/>
          <w:color w:val="1b1b1b"/>
          <w:sz w:val="24"/>
          <w:lang w:val="pl-PL"/>
        </w:rPr>
        <w:t>art. 2</w:t>
      </w:r>
      <w:r>
        <w:rPr>
          <w:rFonts w:ascii="Times New Roman"/>
          <w:b w:val="false"/>
          <w:i w:val="false"/>
          <w:color w:val="000000"/>
          <w:sz w:val="24"/>
          <w:lang w:val="pl-PL"/>
        </w:rPr>
        <w:t xml:space="preserve"> Konstytucji Rzeczpospolita Polska jest demokratycznym państwem prawnym, urzeczywistniającym zasady sprawiedliwości społecznej.</w:t>
      </w:r>
      <w:r>
        <w:rPr>
          <w:rFonts w:ascii="Times New Roman"/>
          <w:b w:val="false"/>
          <w:i w:val="false"/>
          <w:color w:val="000000"/>
          <w:sz w:val="24"/>
          <w:lang w:val="pl-PL"/>
        </w:rPr>
        <w:t xml:space="preserve"> </w:t>
      </w:r>
      <w:r>
        <w:rPr>
          <w:rFonts w:ascii="Times New Roman"/>
          <w:b w:val="false"/>
          <w:i w:val="false"/>
          <w:color w:val="000000"/>
          <w:sz w:val="24"/>
          <w:lang w:val="pl-PL"/>
        </w:rPr>
        <w:t xml:space="preserve">Mając na uwadze ogólnikowość tego przepisu i konieczność wykładni przez organy stosujące Konstytucję, nie można jednak uznać, aby była ona dowolna, gdyż zawiera jedynie pewne minimum i wyrażające ją formuły prawne. Istotne jest, że z zasady państwa prawnego wyprowadzono zasady pochodne, a jedną z nich stanowi zasada ochrony zaufania obywateli do państwa i stanowionego przez nie prawa, związana z zasadą pewności prawa (bezpieczeństwem prawnym). W świetle tej zasady adresaci norm prawnych mają prawo oczekiwać, że regulacja prawna nie zostanie zmieniona na ich niekorzyść w sposób arbitralny i zaskakujący, co podkreślał Trybunał Konstytucyjny w wyroku z 4 listopada 2015 r., </w:t>
      </w:r>
      <w:r>
        <w:rPr>
          <w:rFonts w:ascii="Times New Roman"/>
          <w:b w:val="false"/>
          <w:i w:val="false"/>
          <w:color w:val="1b1b1b"/>
          <w:sz w:val="24"/>
          <w:lang w:val="pl-PL"/>
        </w:rPr>
        <w:t>K 1/14</w:t>
      </w:r>
      <w:r>
        <w:rPr>
          <w:rFonts w:ascii="Times New Roman"/>
          <w:b w:val="false"/>
          <w:i w:val="false"/>
          <w:color w:val="000000"/>
          <w:sz w:val="24"/>
          <w:lang w:val="pl-PL"/>
        </w:rPr>
        <w:t>, Dz.U. z 2015 r. poz. 1917, czy wyroku z 19 listopada 2008 r. w sprawie K 2/08). Oczywiście nie oznacza to, że określone unormowania regulujące uprawnienia płacowe (czy też inne prawa lub obowiązki obywateli) w ogóle nie mogą zostać zmienione, lecz istotny jest warunek brzegowy, który zakłada, aby kreowane zmiany nie były dla jednostki zaskakujące i nie miały charakteru arbitralnego. Ingerencja ustawodawcy może jednak nastąpić tylko wówczas, gdy przemawiają za tym szczególnie istotne wartości konstytucyjne.</w:t>
      </w:r>
    </w:p>
    <w:p>
      <w:pPr>
        <w:spacing w:before="25" w:after="0"/>
        <w:ind w:left="0"/>
        <w:jc w:val="left"/>
        <w:textAlignment w:val="auto"/>
      </w:pPr>
      <w:r>
        <w:rPr>
          <w:rFonts w:ascii="Times New Roman"/>
          <w:b w:val="false"/>
          <w:i w:val="false"/>
          <w:color w:val="000000"/>
          <w:sz w:val="24"/>
          <w:lang w:val="pl-PL"/>
        </w:rPr>
        <w:t xml:space="preserve">Jak dalej wskazał Sąd I instancji, osobnym zarzutem, który należy podnieść wobec art. 41 ustawy okołobudżetowej, jest naruszenie zasady równości wyrażonej w </w:t>
      </w:r>
      <w:r>
        <w:rPr>
          <w:rFonts w:ascii="Times New Roman"/>
          <w:b w:val="false"/>
          <w:i w:val="false"/>
          <w:color w:val="1b1b1b"/>
          <w:sz w:val="24"/>
          <w:lang w:val="pl-PL"/>
        </w:rPr>
        <w:t>art. 32 ust. 1</w:t>
      </w:r>
      <w:r>
        <w:rPr>
          <w:rFonts w:ascii="Times New Roman"/>
          <w:b w:val="false"/>
          <w:i w:val="false"/>
          <w:color w:val="000000"/>
          <w:sz w:val="24"/>
          <w:lang w:val="pl-PL"/>
        </w:rPr>
        <w:t xml:space="preserve"> Konstytucji RP. Nie istniał żaden merytoryczny powód (inny niż względy polityki kadrowej) do tego, by różnicować grupy zawodowe należące do sfery budżetowej względem wysokości kwoty bazowej. Funkcjonariusze, którzy pełnili służbę w styczniu i lutym 2023 r. i z niej odeszli nie powinni być pozbawieni prawa do waloryzacji swojego świadczenia na zasadzie art. 41 ust. 3 ustawy okołobudżetowej.</w:t>
      </w:r>
      <w:r>
        <w:rPr>
          <w:rFonts w:ascii="Times New Roman"/>
          <w:b w:val="false"/>
          <w:i w:val="false"/>
          <w:color w:val="000000"/>
          <w:sz w:val="24"/>
          <w:lang w:val="pl-PL"/>
        </w:rPr>
        <w:t xml:space="preserve"> </w:t>
      </w:r>
      <w:r>
        <w:rPr>
          <w:rFonts w:ascii="Times New Roman"/>
          <w:b w:val="false"/>
          <w:i w:val="false"/>
          <w:color w:val="000000"/>
          <w:sz w:val="24"/>
          <w:lang w:val="pl-PL"/>
        </w:rPr>
        <w:t xml:space="preserve">Nie ma żadnego racjonalnego powodu czy przesłanki by mieli być potraktowani inaczej niż inni funkcjonariusze, odchodzący w tym samym roku budżetowym (i kalendarzowym). Zgodnie z utrwaloną linią orzeczniczą Trybunału Konstytucyjnego, z konstytucyjnej zasady równości wynika wymóg podobnego traktowania (według jednakowej miary) wszystkich podmiotów prawa charakteryzujących się daną cechą istotną - relewantną (zob. wyrok z 11 lipca 2000 r., sygn. </w:t>
      </w:r>
      <w:r>
        <w:rPr>
          <w:rFonts w:ascii="Times New Roman"/>
          <w:b w:val="false"/>
          <w:i w:val="false"/>
          <w:color w:val="1b1b1b"/>
          <w:sz w:val="24"/>
          <w:lang w:val="pl-PL"/>
        </w:rPr>
        <w:t>K. 30/99</w:t>
      </w:r>
      <w:r>
        <w:rPr>
          <w:rFonts w:ascii="Times New Roman"/>
          <w:b w:val="false"/>
          <w:i w:val="false"/>
          <w:color w:val="000000"/>
          <w:sz w:val="24"/>
          <w:lang w:val="pl-PL"/>
        </w:rPr>
        <w:t xml:space="preserve">, OTK ZU nr 5/2000, poz. 145, czy też wyrok z 18 stycznia 2000 r., sygn. </w:t>
      </w:r>
      <w:r>
        <w:rPr>
          <w:rFonts w:ascii="Times New Roman"/>
          <w:b w:val="false"/>
          <w:i w:val="false"/>
          <w:color w:val="1b1b1b"/>
          <w:sz w:val="24"/>
          <w:lang w:val="pl-PL"/>
        </w:rPr>
        <w:t>K. 17/99</w:t>
      </w:r>
      <w:r>
        <w:rPr>
          <w:rFonts w:ascii="Times New Roman"/>
          <w:b w:val="false"/>
          <w:i w:val="false"/>
          <w:color w:val="000000"/>
          <w:sz w:val="24"/>
          <w:lang w:val="pl-PL"/>
        </w:rPr>
        <w:t xml:space="preserve">, OTK ZU nr 1/2000, poz. 4). Powyższa definicja oznacza, że wszystkie podmioty charakteryzujące się w równym stopniu daną cechą istotną (relewantną) powinny być traktowane równo, a więc według jednakowej miary, bez zróżnicowań zarówno dyskryminujących, jak i faworyzujących (wyrok z 5 listopada 1997 r., sygn. K. 22/97, OTK ZU nr 3-4/1997, poz. 41). W związku z tym, powołując się na orzecznictwo Trybunału Konstytucyjnego, należy przyjąć, że odmienne uregulowanie sytuacji prawnej adresatów norm wyróżnionych ze względu na tę samą cechę istotną stanowi odstępstwo od zasady równości (por. orzeczenie z 9 marca 1988 r., sygn. </w:t>
      </w:r>
      <w:r>
        <w:rPr>
          <w:rFonts w:ascii="Times New Roman"/>
          <w:b w:val="false"/>
          <w:i w:val="false"/>
          <w:color w:val="1b1b1b"/>
          <w:sz w:val="24"/>
          <w:lang w:val="pl-PL"/>
        </w:rPr>
        <w:t>U 7/87</w:t>
      </w:r>
      <w:r>
        <w:rPr>
          <w:rFonts w:ascii="Times New Roman"/>
          <w:b w:val="false"/>
          <w:i w:val="false"/>
          <w:color w:val="000000"/>
          <w:sz w:val="24"/>
          <w:lang w:val="pl-PL"/>
        </w:rPr>
        <w:t xml:space="preserve">, OTK w 1988 r., poz. 1 oraz wyroki z: 24 lutego 1999 r., sygn. </w:t>
      </w:r>
      <w:r>
        <w:rPr>
          <w:rFonts w:ascii="Times New Roman"/>
          <w:b w:val="false"/>
          <w:i w:val="false"/>
          <w:color w:val="1b1b1b"/>
          <w:sz w:val="24"/>
          <w:lang w:val="pl-PL"/>
        </w:rPr>
        <w:t>SK 4/98</w:t>
      </w:r>
      <w:r>
        <w:rPr>
          <w:rFonts w:ascii="Times New Roman"/>
          <w:b w:val="false"/>
          <w:i w:val="false"/>
          <w:color w:val="000000"/>
          <w:sz w:val="24"/>
          <w:lang w:val="pl-PL"/>
        </w:rPr>
        <w:t xml:space="preserve">, OTK ZU nr 2/1999, poz. 24; 9 maja 2005 r., sygn. </w:t>
      </w:r>
      <w:r>
        <w:rPr>
          <w:rFonts w:ascii="Times New Roman"/>
          <w:b w:val="false"/>
          <w:i w:val="false"/>
          <w:color w:val="1b1b1b"/>
          <w:sz w:val="24"/>
          <w:lang w:val="pl-PL"/>
        </w:rPr>
        <w:t>SK 14/04</w:t>
      </w:r>
      <w:r>
        <w:rPr>
          <w:rFonts w:ascii="Times New Roman"/>
          <w:b w:val="false"/>
          <w:i w:val="false"/>
          <w:color w:val="000000"/>
          <w:sz w:val="24"/>
          <w:lang w:val="pl-PL"/>
        </w:rPr>
        <w:t xml:space="preserve">, OTK ZU nr 5/A/2005, poz. 47). W literaturze wskazuje się, że w kontekście zarzutu naruszenia konstytucyjnej zasady równości kluczowego znaczenia nabiera ustalenie cechy istotnej (relewantnej), przesądzającej o uznaniu porównywanych podmiotów za podobne lub odmienne. Stwierdzenie, że prawo nie traktuje podmiotów podobnych w sposób podobny (a więc wprowadza zróżnicowanie), prowadzić może do postawienia pytania, czy takie zróżnicowanie jest dopuszczalne w świetle zasady równości (zob. L. Garlicki, uwaga do </w:t>
      </w:r>
      <w:r>
        <w:rPr>
          <w:rFonts w:ascii="Times New Roman"/>
          <w:b w:val="false"/>
          <w:i w:val="false"/>
          <w:color w:val="1b1b1b"/>
          <w:sz w:val="24"/>
          <w:lang w:val="pl-PL"/>
        </w:rPr>
        <w:t>art. 32</w:t>
      </w:r>
      <w:r>
        <w:rPr>
          <w:rFonts w:ascii="Times New Roman"/>
          <w:b w:val="false"/>
          <w:i w:val="false"/>
          <w:color w:val="000000"/>
          <w:sz w:val="24"/>
          <w:lang w:val="pl-PL"/>
        </w:rPr>
        <w:t xml:space="preserve"> Konstytucji, (w:) Konstytucja Rzeczypospolitej Polskiej, Komentarz, red. L. Garlicki, t. 3, Warszawa 2003 r., s. 7). Taka właśnie sytuacja nierównego traktowania funkcjonariuszy na podstawie art. 41 ustawy okołobudżetowej właśnie ma miejsce.</w:t>
      </w:r>
      <w:r>
        <w:rPr>
          <w:rFonts w:ascii="Times New Roman"/>
          <w:b w:val="false"/>
          <w:i w:val="false"/>
          <w:color w:val="000000"/>
          <w:sz w:val="24"/>
          <w:lang w:val="pl-PL"/>
        </w:rPr>
        <w:t xml:space="preserve"> </w:t>
      </w:r>
      <w:r>
        <w:rPr>
          <w:rFonts w:ascii="Times New Roman"/>
          <w:b w:val="false"/>
          <w:i w:val="false"/>
          <w:color w:val="000000"/>
          <w:sz w:val="24"/>
          <w:lang w:val="pl-PL"/>
        </w:rPr>
        <w:t>Osoby kończące służbę 28 lutego 2023 nie są gorsze od osób ją kończących w marcu 2023 r., a otrzymają niższą emeryturę.</w:t>
      </w:r>
    </w:p>
    <w:p>
      <w:pPr>
        <w:spacing w:before="25" w:after="0"/>
        <w:ind w:left="0"/>
        <w:jc w:val="left"/>
        <w:textAlignment w:val="auto"/>
      </w:pPr>
      <w:r>
        <w:rPr>
          <w:rFonts w:ascii="Times New Roman"/>
          <w:b w:val="false"/>
          <w:i w:val="false"/>
          <w:color w:val="000000"/>
          <w:sz w:val="24"/>
          <w:lang w:val="pl-PL"/>
        </w:rPr>
        <w:t>Zgodnie z zasadą pewności prawa (bezpieczeństwem prawnym), obywatel ma prawo oczekiwać od państwa, że może poruszać się i kształtować swoje uprawnienia i zobowiązania w oparciu o stabilne normy prawne, podlegające zmianom jedynie w przypadkach wyjątkowych i uzasadnionych.</w:t>
      </w:r>
    </w:p>
    <w:p>
      <w:pPr>
        <w:spacing w:before="25" w:after="0"/>
        <w:ind w:left="0"/>
        <w:jc w:val="left"/>
        <w:textAlignment w:val="auto"/>
      </w:pPr>
      <w:r>
        <w:rPr>
          <w:rFonts w:ascii="Times New Roman"/>
          <w:b w:val="false"/>
          <w:i w:val="false"/>
          <w:color w:val="000000"/>
          <w:sz w:val="24"/>
          <w:lang w:val="pl-PL"/>
        </w:rPr>
        <w:t xml:space="preserve">Wprowadzenie przepisu art. </w:t>
      </w:r>
      <w:r>
        <w:rPr>
          <w:rFonts w:ascii="Times New Roman"/>
          <w:b w:val="false"/>
          <w:i w:val="false"/>
          <w:color w:val="1b1b1b"/>
          <w:sz w:val="24"/>
          <w:lang w:val="pl-PL"/>
        </w:rPr>
        <w:t>art. 41 ust. 1-3</w:t>
      </w:r>
      <w:r>
        <w:rPr>
          <w:rFonts w:ascii="Times New Roman"/>
          <w:b w:val="false"/>
          <w:i w:val="false"/>
          <w:color w:val="000000"/>
          <w:sz w:val="24"/>
          <w:lang w:val="pl-PL"/>
        </w:rPr>
        <w:t xml:space="preserve"> ustawy okołobudżetowej na 2023 rok doprowadziło do nieuzasadnionego pokrzywdzenia funkcjonariuszy, którzy z jakiegoś powodu zaprzestali pełnienia służby przed 1 marca 2023 r., mimo że przez pierwsze dwa miesiące 2023 r. świadczyli oni służbę jak funkcjonariusze, którzy służbę pełnili także po 1 marca 2023 r. Wprowadzając ten przepis prawodawca odszedł zatem od ukształtowanych i jednolitych zasad ustalania płac konkretnej grupy zawodowej (między innymi funkcjonariuszy Służby Więziennej), dokonując nagle rozróżnienia i podziału wśród tej grupy.</w:t>
      </w:r>
      <w:r>
        <w:rPr>
          <w:rFonts w:ascii="Times New Roman"/>
          <w:b w:val="false"/>
          <w:i w:val="false"/>
          <w:color w:val="000000"/>
          <w:sz w:val="24"/>
          <w:lang w:val="pl-PL"/>
        </w:rPr>
        <w:t xml:space="preserve"> </w:t>
      </w:r>
      <w:r>
        <w:rPr>
          <w:rFonts w:ascii="Times New Roman"/>
          <w:b w:val="false"/>
          <w:i w:val="false"/>
          <w:color w:val="000000"/>
          <w:sz w:val="24"/>
          <w:lang w:val="pl-PL"/>
        </w:rPr>
        <w:t>Ostatecznie spowodowało to wykluczenie części z nich podczas podwyższenia uposażeń dla tej grupy. Dla wykazania wybiórczego i niezrozumiałego charakteru wprowadzonego spornym przepisem uregulowania, wskazać należy, że ciężko jest zrozumieć rozróżnienie sytuacji funkcjonariusza, który odszedł ze służby po 1 marca 2023 r. (choćby w połowie marca czy na początku kwietniu 2023 r.), ale który dzięki późniejszej waloryzacji ostatecznie otrzymał wynagrodzenie za służbę w styczniu i lutym 2023 r. w wysokości wyższej niż funkcjonariusz, który w styczniu i lutym 2023 r. wykonywał identyczną jak on pracę, lecz odszedł ze służby przed 1 marca 2023 r. Brak uzasadnienia dla interesu państwa, dla którego powód, który przez wiele lat pełnił służbę, powinien zostać w ten sposób potraktowany.</w:t>
      </w:r>
    </w:p>
    <w:p>
      <w:pPr>
        <w:spacing w:before="25" w:after="0"/>
        <w:ind w:left="0"/>
        <w:jc w:val="left"/>
        <w:textAlignment w:val="auto"/>
      </w:pPr>
      <w:r>
        <w:rPr>
          <w:rFonts w:ascii="Times New Roman"/>
          <w:b w:val="false"/>
          <w:i w:val="false"/>
          <w:color w:val="000000"/>
          <w:sz w:val="24"/>
          <w:lang w:val="pl-PL"/>
        </w:rPr>
        <w:t xml:space="preserve">Brak uzasadnienia dla wybiórczego traktowania funkcjonariuszy Służby Więziennej w porównaniu do przedstawicieli sfery budżetowej, w stosunku do których ma zastosowanie </w:t>
      </w:r>
      <w:r>
        <w:rPr>
          <w:rFonts w:ascii="Times New Roman"/>
          <w:b w:val="false"/>
          <w:i w:val="false"/>
          <w:color w:val="1b1b1b"/>
          <w:sz w:val="24"/>
          <w:lang w:val="pl-PL"/>
        </w:rPr>
        <w:t>art. 8 ust. 1</w:t>
      </w:r>
      <w:r>
        <w:rPr>
          <w:rFonts w:ascii="Times New Roman"/>
          <w:b w:val="false"/>
          <w:i w:val="false"/>
          <w:color w:val="000000"/>
          <w:sz w:val="24"/>
          <w:lang w:val="pl-PL"/>
        </w:rPr>
        <w:t xml:space="preserve"> ustawy o kształtowaniu wynagrodzeń w państwowej sferze budżetowej oraz o zmianie niektórych ustaw.</w:t>
      </w:r>
      <w:r>
        <w:rPr>
          <w:rFonts w:ascii="Times New Roman"/>
          <w:b w:val="false"/>
          <w:i w:val="false"/>
          <w:color w:val="000000"/>
          <w:sz w:val="24"/>
          <w:lang w:val="pl-PL"/>
        </w:rPr>
        <w:t xml:space="preserve"> </w:t>
      </w:r>
      <w:r>
        <w:rPr>
          <w:rFonts w:ascii="Times New Roman"/>
          <w:b w:val="false"/>
          <w:i w:val="false"/>
          <w:color w:val="000000"/>
          <w:sz w:val="24"/>
          <w:lang w:val="pl-PL"/>
        </w:rPr>
        <w:t>W uzasadnieniu do ustawy okołobudżetowej wskazano, że mechanizm ten ma na celu zachęcenie do pozostania w służbie.</w:t>
      </w:r>
      <w:r>
        <w:rPr>
          <w:rFonts w:ascii="Times New Roman"/>
          <w:b w:val="false"/>
          <w:i w:val="false"/>
          <w:color w:val="000000"/>
          <w:sz w:val="24"/>
          <w:lang w:val="pl-PL"/>
        </w:rPr>
        <w:t xml:space="preserve"> </w:t>
      </w:r>
      <w:r>
        <w:rPr>
          <w:rFonts w:ascii="Times New Roman"/>
          <w:b w:val="false"/>
          <w:i w:val="false"/>
          <w:color w:val="000000"/>
          <w:sz w:val="24"/>
          <w:lang w:val="pl-PL"/>
        </w:rPr>
        <w:t>Wynika z tego, że jest on elementem kształtowania polityki kadrowej, a nie stanowi reakcji na żadne wyjątkowe okoliczności, które uzasadniałyby pozbawienie tej grupy prawa do waloryzacji.</w:t>
      </w:r>
      <w:r>
        <w:rPr>
          <w:rFonts w:ascii="Times New Roman"/>
          <w:b w:val="false"/>
          <w:i w:val="false"/>
          <w:color w:val="000000"/>
          <w:sz w:val="24"/>
          <w:lang w:val="pl-PL"/>
        </w:rPr>
        <w:t xml:space="preserve"> </w:t>
      </w:r>
      <w:r>
        <w:rPr>
          <w:rFonts w:ascii="Times New Roman"/>
          <w:b w:val="false"/>
          <w:i w:val="false"/>
          <w:color w:val="000000"/>
          <w:sz w:val="24"/>
          <w:lang w:val="pl-PL"/>
        </w:rPr>
        <w:t>Ustawodawca nie przedstawił w uzasadnieniu projektu ustawy okołobudżetowej przekonującego uzasadnienia zasadności zastosowania sposobu obliczenia waloryzacji uposażeń funkcjonariuszy Służby Więziennej.</w:t>
      </w:r>
      <w:r>
        <w:rPr>
          <w:rFonts w:ascii="Times New Roman"/>
          <w:b w:val="false"/>
          <w:i w:val="false"/>
          <w:color w:val="000000"/>
          <w:sz w:val="24"/>
          <w:lang w:val="pl-PL"/>
        </w:rPr>
        <w:t xml:space="preserve"> </w:t>
      </w:r>
      <w:r>
        <w:rPr>
          <w:rFonts w:ascii="Times New Roman"/>
          <w:b w:val="false"/>
          <w:i w:val="false"/>
          <w:color w:val="000000"/>
          <w:sz w:val="24"/>
          <w:lang w:val="pl-PL"/>
        </w:rPr>
        <w:t>O ile nie można odmówić możliwości stosowania różnego rodzaju zachęt dla pozostawania funkcjonariuszy w czynnej służbie, jednakże nie może to być poczynione w sposób tak dalece różnicujący sytuację funkcjonariuszy w jednym roku kalendarzowym.</w:t>
      </w:r>
      <w:r>
        <w:rPr>
          <w:rFonts w:ascii="Times New Roman"/>
          <w:b w:val="false"/>
          <w:i w:val="false"/>
          <w:color w:val="000000"/>
          <w:sz w:val="24"/>
          <w:lang w:val="pl-PL"/>
        </w:rPr>
        <w:t xml:space="preserve"> </w:t>
      </w:r>
      <w:r>
        <w:rPr>
          <w:rFonts w:ascii="Times New Roman"/>
          <w:b w:val="false"/>
          <w:i w:val="false"/>
          <w:color w:val="000000"/>
          <w:sz w:val="24"/>
          <w:lang w:val="pl-PL"/>
        </w:rPr>
        <w:t>Ponadto sposób ustalenia podwyżki uposażeń funkcjonariuszy był odmienny, bez szczególnego uzasadnienia, od sytuacji innych przedstawicieli sfery budżetowej, wobec których nie zostały zastosowane tego rodzaju zachęty dla pozostawania w pracy.</w:t>
      </w:r>
      <w:r>
        <w:rPr>
          <w:rFonts w:ascii="Times New Roman"/>
          <w:b w:val="false"/>
          <w:i w:val="false"/>
          <w:color w:val="000000"/>
          <w:sz w:val="24"/>
          <w:lang w:val="pl-PL"/>
        </w:rPr>
        <w:t xml:space="preserve"> </w:t>
      </w:r>
      <w:r>
        <w:rPr>
          <w:rFonts w:ascii="Times New Roman"/>
          <w:b w:val="false"/>
          <w:i w:val="false"/>
          <w:color w:val="000000"/>
          <w:sz w:val="24"/>
          <w:lang w:val="pl-PL"/>
        </w:rPr>
        <w:t xml:space="preserve">Tym samym ukształtowanie waloryzacji funkcjonariuszy w sposób odrębny od innych przedstawicieli sfery budżetowej, stanowi naruszenie zasady równego traktowania podmiotów podobnych oraz narusza zakaz dyskryminacji, o którym stanowi </w:t>
      </w:r>
      <w:r>
        <w:rPr>
          <w:rFonts w:ascii="Times New Roman"/>
          <w:b w:val="false"/>
          <w:i w:val="false"/>
          <w:color w:val="1b1b1b"/>
          <w:sz w:val="24"/>
          <w:lang w:val="pl-PL"/>
        </w:rPr>
        <w:t>art. 32 ust. 2</w:t>
      </w:r>
      <w:r>
        <w:rPr>
          <w:rFonts w:ascii="Times New Roman"/>
          <w:b w:val="false"/>
          <w:i w:val="false"/>
          <w:color w:val="000000"/>
          <w:sz w:val="24"/>
          <w:lang w:val="pl-PL"/>
        </w:rPr>
        <w:t xml:space="preserve"> Konstytucji RP.</w:t>
      </w:r>
    </w:p>
    <w:p>
      <w:pPr>
        <w:spacing w:before="25" w:after="0"/>
        <w:ind w:left="0"/>
        <w:jc w:val="left"/>
        <w:textAlignment w:val="auto"/>
      </w:pPr>
      <w:r>
        <w:rPr>
          <w:rFonts w:ascii="Times New Roman"/>
          <w:b w:val="false"/>
          <w:i w:val="false"/>
          <w:color w:val="000000"/>
          <w:sz w:val="24"/>
          <w:lang w:val="pl-PL"/>
        </w:rPr>
        <w:t>Oceniając zgodność z Konstytucją art. 41 ustawy okołobudżetowej na 2023 rok Sąd Rejonowy wskazał, iż zauważyć trzeba krytyczną ocenę tego przepisu wyrażoną przez Senat w uchwale z 30 listopada 2022 r. (druk nr 861), wykreślając go z projektu. Zdaniem Senatu sposób ustalania należnego żołnierzom i funkcjonariuszom w 2023 r. uposażenia odbiegał od sposobu dotyczącego ustalania wysokości wynagrodzenia zasadniczego pozostałych grup pracowników państwowej sfery budżetowej, również opartego o kwotę bazową, określoną w ustawie budżetowej na dany rok kalendarzowy.</w:t>
      </w:r>
      <w:r>
        <w:rPr>
          <w:rFonts w:ascii="Times New Roman"/>
          <w:b w:val="false"/>
          <w:i w:val="false"/>
          <w:color w:val="000000"/>
          <w:sz w:val="24"/>
          <w:lang w:val="pl-PL"/>
        </w:rPr>
        <w:t xml:space="preserve"> </w:t>
      </w:r>
      <w:r>
        <w:rPr>
          <w:rFonts w:ascii="Times New Roman"/>
          <w:b w:val="false"/>
          <w:i w:val="false"/>
          <w:color w:val="000000"/>
          <w:sz w:val="24"/>
          <w:lang w:val="pl-PL"/>
        </w:rPr>
        <w:t>W ocenie Senatu, regulacja ta była niezgodna z Konstytucją, w tym z określoną w art. 2 zasadą demokratycznego państwa prawa i wywodzoną z niej zasadą sprawiedliwości społecznej i zasadą określoności przepisów prawa i wynikającą z art. 7 zasadą legalizmu, a także z określonymi w art. 32 zasadą równości wobec prawa i zakazem dyskryminacji.</w:t>
      </w:r>
    </w:p>
    <w:p>
      <w:pPr>
        <w:spacing w:before="25" w:after="0"/>
        <w:ind w:left="0"/>
        <w:jc w:val="left"/>
        <w:textAlignment w:val="auto"/>
      </w:pPr>
      <w:r>
        <w:rPr>
          <w:rFonts w:ascii="Times New Roman"/>
          <w:b w:val="false"/>
          <w:i w:val="false"/>
          <w:color w:val="000000"/>
          <w:sz w:val="24"/>
          <w:lang w:val="pl-PL"/>
        </w:rPr>
        <w:t>Bezpieczeństwo prawne jednostki może pozostawać w kolizji z innymi wartościami, których realizacja wymaga wprowadzenia zmian do systemu prawnego. Przepisy epizodyczne są środkiem reakcji na takie zdarzenia, pod warunkiem, że reakcja taka jest adekwatna. Jednostka ma bowiem prawo oczekiwać, że regulacja prawna nie zostanie zmieniona na jej niekorzyść w sposób arbitralny. Prawodawca nie może jednak w sposób dowolny kształtować treści obowiązujących norm, traktując je jako instrument do osiągania celów bieżącej polityki kadrowej, a tak było w przypadku osób, które zostały zwolnione ze służby w okresie 1 stycznia -28 lutego 2023 r.</w:t>
      </w:r>
    </w:p>
    <w:p>
      <w:pPr>
        <w:spacing w:before="25" w:after="0"/>
        <w:ind w:left="0"/>
        <w:jc w:val="left"/>
        <w:textAlignment w:val="auto"/>
      </w:pPr>
      <w:r>
        <w:rPr>
          <w:rFonts w:ascii="Times New Roman"/>
          <w:b w:val="false"/>
          <w:i w:val="false"/>
          <w:color w:val="000000"/>
          <w:sz w:val="24"/>
          <w:lang w:val="pl-PL"/>
        </w:rPr>
        <w:t>Sąd I instancji podkreślił, że system emerytalny właściwy dla służb mundurowych ma ze swojej istoty taką konstrukcję, że niejako "premiuje" możliwe najdłuższe pełnienie służby poprzez fakt, iż długość służby (oraz związana z tym możliwość uzyskania wyższych stanowisk) przedkłada się na możliwość uzyskania wyższej emerytury. Można to zawrzeć w haśle: "dłuższa służba - większa emerytura", które zresztą odpowiednio pasuje również do konstrukcji powszechnego systemu emerytalnego ("dłuższa praca - wyższa emerytura"). W nawiązaniu do powyższej uwagi, to funkcjonariuszom służb mundurowych powinien przysługiwać wolny wybór, kiedy odejść na emeryturę (po spełnieniu ustawowych przesłanek jej otrzymania). Jest to ich prawo i ustawodawca nie powinien odgórnie zmuszać nikogo do pozostawiania w służbie.</w:t>
      </w:r>
      <w:r>
        <w:rPr>
          <w:rFonts w:ascii="Times New Roman"/>
          <w:b w:val="false"/>
          <w:i w:val="false"/>
          <w:color w:val="000000"/>
          <w:sz w:val="24"/>
          <w:lang w:val="pl-PL"/>
        </w:rPr>
        <w:t xml:space="preserve"> </w:t>
      </w:r>
      <w:r>
        <w:rPr>
          <w:rFonts w:ascii="Times New Roman"/>
          <w:b w:val="false"/>
          <w:i w:val="false"/>
          <w:color w:val="000000"/>
          <w:sz w:val="24"/>
          <w:lang w:val="pl-PL"/>
        </w:rPr>
        <w:t>Art. 60 Konstytucji RP stanowi o prawie dostępu do służby na równych zasadach, choć dotyczy także prawa do odejścia z służby na jasnych (określonych) i równych warunkach. Z. wybór związany z prawem do odejścia z służby jest przez art. 41 ustawy okołobudżetowej naruszony.</w:t>
      </w:r>
    </w:p>
    <w:p>
      <w:pPr>
        <w:spacing w:before="25" w:after="0"/>
        <w:ind w:left="0"/>
        <w:jc w:val="left"/>
        <w:textAlignment w:val="auto"/>
      </w:pPr>
      <w:r>
        <w:rPr>
          <w:rFonts w:ascii="Times New Roman"/>
          <w:b w:val="false"/>
          <w:i w:val="false"/>
          <w:color w:val="000000"/>
          <w:sz w:val="24"/>
          <w:lang w:val="pl-PL"/>
        </w:rPr>
        <w:t>Próba odgórnego sterowania decyzjami funkcjonariuszy o odejściu na emeryturę, za pomocą celowego i w pełni świadomego narzędzia prawnego służącego obniżeniu ich uposażenia (a w efekcie - emerytury) sama w sobie jest niezgodna z zasadą demokratycznego państwa prawa. Wątpliwości te wzmacnia szczególnie sytuacja, gdy takie mechanizmy prawne nie są uchwalane w warunkach szczególnych funkcjonowania dla Państwa Polskiego, tj. w stanach nadzwyczajnych.</w:t>
      </w:r>
    </w:p>
    <w:p>
      <w:pPr>
        <w:spacing w:before="25" w:after="0"/>
        <w:ind w:left="0"/>
        <w:jc w:val="left"/>
        <w:textAlignment w:val="auto"/>
      </w:pPr>
      <w:r>
        <w:rPr>
          <w:rFonts w:ascii="Times New Roman"/>
          <w:b w:val="false"/>
          <w:i w:val="false"/>
          <w:color w:val="000000"/>
          <w:sz w:val="24"/>
          <w:lang w:val="pl-PL"/>
        </w:rPr>
        <w:t>Sąd I instancji podkreślił, że w uzasadnieniu projektu ustawy okołobudżetowej oraz w wypowiedziach publicznych (</w:t>
      </w:r>
      <w:r>
        <w:rPr>
          <w:rFonts w:ascii="Times New Roman"/>
          <w:b w:val="false"/>
          <w:i w:val="false"/>
          <w:color w:val="1b1b1b"/>
          <w:sz w:val="24"/>
          <w:lang w:val="pl-PL"/>
        </w:rPr>
        <w:t>https://www.gazetaprawna.pl/praca</w:t>
      </w:r>
      <w:r>
        <w:rPr>
          <w:rFonts w:ascii="Times New Roman"/>
          <w:b w:val="false"/>
          <w:i w:val="false"/>
          <w:color w:val="000000"/>
          <w:sz w:val="24"/>
          <w:lang w:val="pl-PL"/>
        </w:rPr>
        <w:t xml:space="preserve"> (...) mundurowi-waloryzacja-uposazen-emerytura-kwota-bazowa-podwyzka.html) wskazywano, że przepisy art. 41 ustawy okołobudżetowej wprowadzone są po to, by zatrzymać exodus funkcjonariuszy na emeryturę (czyli jest formą polityki kadrowej), żadne inne nadzwyczajne powody, w tym sytuacja ekonomiczna Państwa, nie były wskazywane.</w:t>
      </w:r>
    </w:p>
    <w:p>
      <w:pPr>
        <w:spacing w:before="25" w:after="0"/>
        <w:ind w:left="0"/>
        <w:jc w:val="left"/>
        <w:textAlignment w:val="auto"/>
      </w:pPr>
      <w:r>
        <w:rPr>
          <w:rFonts w:ascii="Times New Roman"/>
          <w:b w:val="false"/>
          <w:i w:val="false"/>
          <w:color w:val="000000"/>
          <w:sz w:val="24"/>
          <w:lang w:val="pl-PL"/>
        </w:rPr>
        <w:t xml:space="preserve">Reasumując, Sąd I instancji dokonał analizy treści przywołanego już art. 41 ustawy okołobudżetowej na rok 2023 i ocenił, że przepis ten należy uznać za sprzeczny z </w:t>
      </w:r>
      <w:r>
        <w:rPr>
          <w:rFonts w:ascii="Times New Roman"/>
          <w:b w:val="false"/>
          <w:i w:val="false"/>
          <w:color w:val="1b1b1b"/>
          <w:sz w:val="24"/>
          <w:lang w:val="pl-PL"/>
        </w:rPr>
        <w:t>art. 2</w:t>
      </w:r>
      <w:r>
        <w:rPr>
          <w:rFonts w:ascii="Times New Roman"/>
          <w:b w:val="false"/>
          <w:i w:val="false"/>
          <w:color w:val="000000"/>
          <w:sz w:val="24"/>
          <w:lang w:val="pl-PL"/>
        </w:rPr>
        <w:t xml:space="preserve"> i </w:t>
      </w:r>
      <w:r>
        <w:rPr>
          <w:rFonts w:ascii="Times New Roman"/>
          <w:b w:val="false"/>
          <w:i w:val="false"/>
          <w:color w:val="1b1b1b"/>
          <w:sz w:val="24"/>
          <w:lang w:val="pl-PL"/>
        </w:rPr>
        <w:t>art. 32 ust. 1</w:t>
      </w:r>
      <w:r>
        <w:rPr>
          <w:rFonts w:ascii="Times New Roman"/>
          <w:b w:val="false"/>
          <w:i w:val="false"/>
          <w:color w:val="000000"/>
          <w:sz w:val="24"/>
          <w:lang w:val="pl-PL"/>
        </w:rPr>
        <w:t xml:space="preserve"> Konstytucji, na które powoływał się powód.</w:t>
      </w:r>
      <w:r>
        <w:rPr>
          <w:rFonts w:ascii="Times New Roman"/>
          <w:b w:val="false"/>
          <w:i w:val="false"/>
          <w:color w:val="000000"/>
          <w:sz w:val="24"/>
          <w:lang w:val="pl-PL"/>
        </w:rPr>
        <w:t xml:space="preserve"> </w:t>
      </w:r>
      <w:r>
        <w:rPr>
          <w:rFonts w:ascii="Times New Roman"/>
          <w:b w:val="false"/>
          <w:i w:val="false"/>
          <w:color w:val="000000"/>
          <w:sz w:val="24"/>
          <w:lang w:val="pl-PL"/>
        </w:rPr>
        <w:t>Zastosowanie tych przepisów doprowadziło bowiem do sytuacji, że powód uzyskał niższe niż należne uposażenie za służbę pełnioną w styczniu i lutym 2023 r. Tym samym, wbrew twierdzeniom strony pozwanej, doszło do dyskryminacji powoda, albowiem w porównaniu do funkcjonariuszy, którzy pozostali w służbie po 1 marca 2023 r., otrzymał on niższe uposażenie za służbę w tym samym, co oni okresie-w styczniu i lutym 2023 r.</w:t>
      </w:r>
    </w:p>
    <w:p>
      <w:pPr>
        <w:spacing w:before="25" w:after="0"/>
        <w:ind w:left="0"/>
        <w:jc w:val="left"/>
        <w:textAlignment w:val="auto"/>
      </w:pPr>
      <w:r>
        <w:rPr>
          <w:rFonts w:ascii="Times New Roman"/>
          <w:b w:val="false"/>
          <w:i w:val="false"/>
          <w:color w:val="000000"/>
          <w:sz w:val="24"/>
          <w:lang w:val="pl-PL"/>
        </w:rPr>
        <w:t>Jak wskazał Sąd Rejonowy, problem ten został dostrzeżony przez Rzecznika Praw Obywatelskich (</w:t>
      </w:r>
      <w:r>
        <w:rPr>
          <w:rFonts w:ascii="Times New Roman"/>
          <w:b w:val="false"/>
          <w:i w:val="false"/>
          <w:color w:val="1b1b1b"/>
          <w:sz w:val="24"/>
          <w:lang w:val="pl-PL"/>
        </w:rPr>
        <w:t>https://bip.brpo.gov.pl/pl/content/</w:t>
      </w:r>
      <w:r>
        <w:rPr>
          <w:rFonts w:ascii="Times New Roman"/>
          <w:b w:val="false"/>
          <w:i w:val="false"/>
          <w:color w:val="000000"/>
          <w:sz w:val="24"/>
          <w:lang w:val="pl-PL"/>
        </w:rPr>
        <w:t xml:space="preserve"> rpo-sluzby-mundurowe-waloryzacja-2023-mswia-odpowiedz), w opinii którego art. 41 ustawy okołobudżetowej był niekorzystny wobec funkcjonariuszy, którzy odchodzili na zaopatrzenie emerytalne w okresie od 1 stycznia do 28 lutego 2023 r. Wskazał on, że zgodnie z </w:t>
      </w:r>
      <w:r>
        <w:rPr>
          <w:rFonts w:ascii="Times New Roman"/>
          <w:b w:val="false"/>
          <w:i w:val="false"/>
          <w:color w:val="1b1b1b"/>
          <w:sz w:val="24"/>
          <w:lang w:val="pl-PL"/>
        </w:rPr>
        <w:t>art. 8 ust. 1</w:t>
      </w:r>
      <w:r>
        <w:rPr>
          <w:rFonts w:ascii="Times New Roman"/>
          <w:b w:val="false"/>
          <w:i w:val="false"/>
          <w:color w:val="000000"/>
          <w:sz w:val="24"/>
          <w:lang w:val="pl-PL"/>
        </w:rPr>
        <w:t xml:space="preserve"> ustawy o kształtowaniu wynagrodzeń w państwowej sferze budżetowej oraz o zmianie niektórych ustaw, który obejmuje również funkcjonariuszy, podwyższenie wynagrodzeń dla pracowników państwowej sfery budżetowej następuje w ciągu 3 miesięcy po ogłoszeniu ustawy budżetowej, z wyrównaniem od 1 stycznia danego roku. Regułą jest więc wprowadzenie podwyżek w 3 miesiące od opublikowania ustawy budżetowej w Dzienniku Ustaw z wyrównaniem od stycznia danego roku. Tym samym funkcjonariusz albo żołnierz po 1 stycznia 2023 r. byłby objęty waloryzacją uposażenia, gdyby nie mechanizm wprowadzony przepisami epizodycznymi na 2023 rok.</w:t>
      </w:r>
    </w:p>
    <w:p>
      <w:pPr>
        <w:spacing w:before="25" w:after="0"/>
        <w:ind w:left="0"/>
        <w:jc w:val="left"/>
        <w:textAlignment w:val="auto"/>
      </w:pPr>
      <w:r>
        <w:rPr>
          <w:rFonts w:ascii="Times New Roman"/>
          <w:b w:val="false"/>
          <w:i w:val="false"/>
          <w:color w:val="000000"/>
          <w:sz w:val="24"/>
          <w:lang w:val="pl-PL"/>
        </w:rPr>
        <w:t>Zdaniem Sądu Rejonowego nie ma znaczenia dla rozstrzygnięcia ewentualny brak środków w planie finansowym strony pozwanej.</w:t>
      </w:r>
      <w:r>
        <w:rPr>
          <w:rFonts w:ascii="Times New Roman"/>
          <w:b w:val="false"/>
          <w:i w:val="false"/>
          <w:color w:val="000000"/>
          <w:sz w:val="24"/>
          <w:lang w:val="pl-PL"/>
        </w:rPr>
        <w:t xml:space="preserve"> Brak środków pieniężnych po stronie dłużnika nie stanowi podstawy do oddalenia powództwa. </w:t>
      </w:r>
      <w:r>
        <w:rPr>
          <w:rFonts w:ascii="Times New Roman"/>
          <w:b w:val="false"/>
          <w:i w:val="false"/>
          <w:color w:val="000000"/>
          <w:sz w:val="24"/>
          <w:lang w:val="pl-PL"/>
        </w:rPr>
        <w:t xml:space="preserve">Trudności finansowe mogą uzasadniać w szczególnie uzasadnionych przypadkach co najwyżej rozłożenie świadczenia na raty na podstawie </w:t>
      </w:r>
      <w:r>
        <w:rPr>
          <w:rFonts w:ascii="Times New Roman"/>
          <w:b w:val="false"/>
          <w:i w:val="false"/>
          <w:color w:val="1b1b1b"/>
          <w:sz w:val="24"/>
          <w:lang w:val="pl-PL"/>
        </w:rPr>
        <w:t>art. 320</w:t>
      </w:r>
      <w:r>
        <w:rPr>
          <w:rFonts w:ascii="Times New Roman"/>
          <w:b w:val="false"/>
          <w:i w:val="false"/>
          <w:color w:val="000000"/>
          <w:sz w:val="24"/>
          <w:lang w:val="pl-PL"/>
        </w:rPr>
        <w:t xml:space="preserve"> k.p.c., jednakże o to strona pozwana nie wnosiła. Bez znaczenia pozostaje również kwestia potencjalnej odpowiedzialności z tytułu dyscypliny finansów publicznych.</w:t>
      </w:r>
      <w:r>
        <w:rPr>
          <w:rFonts w:ascii="Times New Roman"/>
          <w:b w:val="false"/>
          <w:i w:val="false"/>
          <w:color w:val="000000"/>
          <w:sz w:val="24"/>
          <w:lang w:val="pl-PL"/>
        </w:rPr>
        <w:t xml:space="preserve"> </w:t>
      </w:r>
      <w:r>
        <w:rPr>
          <w:rFonts w:ascii="Times New Roman"/>
          <w:b w:val="false"/>
          <w:i w:val="false"/>
          <w:color w:val="000000"/>
          <w:sz w:val="24"/>
          <w:lang w:val="pl-PL"/>
        </w:rPr>
        <w:t>Odpowiedzialność ta nie rzutuje na możliwość wypłaty wynagrodzenia za pracę w pełnej wysokości dochodzonego roszczenia, a stanowi obawę i wytłumaczenie się z podjętej decyzji przez piastuna organu dotyczącej możliwości ponoszenia tej odpowiedzialności.</w:t>
      </w:r>
    </w:p>
    <w:p>
      <w:pPr>
        <w:spacing w:before="25" w:after="0"/>
        <w:ind w:left="0"/>
        <w:jc w:val="left"/>
        <w:textAlignment w:val="auto"/>
      </w:pPr>
      <w:r>
        <w:rPr>
          <w:rFonts w:ascii="Times New Roman"/>
          <w:b w:val="false"/>
          <w:i w:val="false"/>
          <w:color w:val="000000"/>
          <w:sz w:val="24"/>
          <w:lang w:val="pl-PL"/>
        </w:rPr>
        <w:t>Wysokość roszczenia wynika z zastosowania podwyższonej kwoty bazowej w 2023 r. w stosunku do jej wysokości z 2022 r. Kwota ta została podwyższona z 1.614,69 złotych do 1.740,64 złotych.</w:t>
      </w:r>
      <w:r>
        <w:rPr>
          <w:rFonts w:ascii="Times New Roman"/>
          <w:b w:val="false"/>
          <w:i w:val="false"/>
          <w:color w:val="000000"/>
          <w:sz w:val="24"/>
          <w:lang w:val="pl-PL"/>
        </w:rPr>
        <w:t xml:space="preserve"> </w:t>
      </w:r>
      <w:r>
        <w:rPr>
          <w:rFonts w:ascii="Times New Roman"/>
          <w:b w:val="false"/>
          <w:i w:val="false"/>
          <w:color w:val="000000"/>
          <w:sz w:val="24"/>
          <w:lang w:val="pl-PL"/>
        </w:rPr>
        <w:t>Stosując mnożnik bazowy do składników wynagrodzenia powoda przy zastosowaniu waloryzacji uposażenia z pominięciem art. 41 ustawy okołobudżetowej powodowi przysługuje od strony pozwanej 1.086,96 złotych i taką kwotę na jego rzecz zasądził Sąd I instancji wskazując, że powództwo zostało oddalone w niewielkim zakresie wynikającym z zaokrąglenia przez powoda żądania do kwoty 1.087 złotych.</w:t>
      </w:r>
    </w:p>
    <w:p>
      <w:pPr>
        <w:spacing w:before="25" w:after="0"/>
        <w:ind w:left="0"/>
        <w:jc w:val="left"/>
        <w:textAlignment w:val="auto"/>
      </w:pPr>
      <w:r>
        <w:rPr>
          <w:rFonts w:ascii="Times New Roman"/>
          <w:b w:val="false"/>
          <w:i w:val="false"/>
          <w:color w:val="000000"/>
          <w:sz w:val="24"/>
          <w:lang w:val="pl-PL"/>
        </w:rPr>
        <w:t xml:space="preserve">Odnosząc się do roszczenia odsetkowego Sąd I instancji wskazał, że stosownie do treści art. 227 ustawy o Służbie Więziennej, w przypadku niewypłacenia uposażenia zasadniczego i dodatków do uposażenia o charakterze stałym w terminie, o którym mowa w art. 62 ust. 2, funkcjonariuszowi przysługuje prawo do otrzymania odsetek ustawowych za opóźnienie, naliczanych za każdy dzień zwłoki. Uposażenie zasadnicze i dodatki do uposażenia o charakterze stałym są płatne miesięcznie z góry, w pierwszym dniu roboczym każdego miesiąca (art. 62 ust. 2 przywołanej ustawy). W myśl </w:t>
      </w:r>
      <w:r>
        <w:rPr>
          <w:rFonts w:ascii="Times New Roman"/>
          <w:b w:val="false"/>
          <w:i w:val="false"/>
          <w:color w:val="1b1b1b"/>
          <w:sz w:val="24"/>
          <w:lang w:val="pl-PL"/>
        </w:rPr>
        <w:t>art. 8 ust. 1</w:t>
      </w:r>
      <w:r>
        <w:rPr>
          <w:rFonts w:ascii="Times New Roman"/>
          <w:b w:val="false"/>
          <w:i w:val="false"/>
          <w:color w:val="000000"/>
          <w:sz w:val="24"/>
          <w:lang w:val="pl-PL"/>
        </w:rPr>
        <w:t xml:space="preserve"> ustawy o kształtowaniu wynagrodzeń w państwowej sferze budżetowej oraz o zmianie niektórych ustaw podwyższenie wynagrodzeń dla pracowników państwowej sfery budżetowej następuje w ciągu 3 miesięcy po ogłoszeniu ustawy budżetowej, z wyrównaniem od 1 stycznia danego roku.</w:t>
      </w:r>
    </w:p>
    <w:p>
      <w:pPr>
        <w:spacing w:before="25" w:after="0"/>
        <w:ind w:left="0"/>
        <w:jc w:val="left"/>
        <w:textAlignment w:val="auto"/>
      </w:pPr>
      <w:r>
        <w:rPr>
          <w:rFonts w:ascii="Times New Roman"/>
          <w:b w:val="false"/>
          <w:i w:val="false"/>
          <w:color w:val="000000"/>
          <w:sz w:val="24"/>
          <w:lang w:val="pl-PL"/>
        </w:rPr>
        <w:t>Strona pozwana jako statio fisci nie może skutecznie wywodzić, że w sposób niezawiniony nie wypłacono świadczenia, w sytuacji gdy opóźnienie wynikało z wadliwych działań Państwa polegających na wydaniu aktu normatywnego z naruszeniem zasad konstytucyjnych.</w:t>
      </w:r>
      <w:r>
        <w:rPr>
          <w:rFonts w:ascii="Times New Roman"/>
          <w:b w:val="false"/>
          <w:i w:val="false"/>
          <w:color w:val="000000"/>
          <w:sz w:val="24"/>
          <w:lang w:val="pl-PL"/>
        </w:rPr>
        <w:t xml:space="preserve"> </w:t>
      </w:r>
      <w:r>
        <w:rPr>
          <w:rFonts w:ascii="Times New Roman"/>
          <w:b w:val="false"/>
          <w:i w:val="false"/>
          <w:color w:val="000000"/>
          <w:sz w:val="24"/>
          <w:lang w:val="pl-PL"/>
        </w:rPr>
        <w:t>Jakkolwiek z punktu widzenia prawa pracy pracodawca (konkretna statio fisci) nie jest tożsamy podmiotowo z organem tworzącym wadliwą normę prawną, z ustrojowego punktu widzenia jednak doszło do połączenia funkcji ustawodawcy i pracodawcy (akt normatywny wydał organ władzy państwowej, który jednocześnie wykonuje swe czynności za pomocą pozwanej statio fisci). Koncepcja, że w takiej sytuacji dłużnik uchybił terminowi do spełnienia świadczenia z przyczyn od siebie niezależnych jest sztuczna i sprzeczna z ustrojową pozycją sądownictwa. Oznaczałaby bowiem, że Państwo uchyla się od ponoszenia odpowiedzialności za wydawanie oczywiście wadliwych przepisów, które później stosuje jako pracodawca w ramach różnych statio fisci.</w:t>
      </w:r>
    </w:p>
    <w:p>
      <w:pPr>
        <w:spacing w:before="25" w:after="0"/>
        <w:ind w:left="0"/>
        <w:jc w:val="left"/>
        <w:textAlignment w:val="auto"/>
      </w:pPr>
      <w:r>
        <w:rPr>
          <w:rFonts w:ascii="Times New Roman"/>
          <w:b w:val="false"/>
          <w:i w:val="false"/>
          <w:color w:val="000000"/>
          <w:sz w:val="24"/>
          <w:lang w:val="pl-PL"/>
        </w:rPr>
        <w:t>Nie można również przyjąć, że dopiero z chwilą wydania wyroku nastąpiła wymagalność roszczeń strony powodowej. Stan niekonstytucyjności istniał od chwili wydania zakwestionowanego aktu normatywnego. Strona pozwana mogła i powinna zastosować właściwe przepisy, zwłaszcza, że uchybienie, jakie miało miejsce w przepisach ustaw okołobudżetowych było oczywiste, rażące i widoczne na pierwszy rzut oka.</w:t>
      </w:r>
    </w:p>
    <w:p>
      <w:pPr>
        <w:spacing w:before="25" w:after="0"/>
        <w:ind w:left="0"/>
        <w:jc w:val="left"/>
        <w:textAlignment w:val="auto"/>
      </w:pPr>
      <w:r>
        <w:rPr>
          <w:rFonts w:ascii="Times New Roman"/>
          <w:b w:val="false"/>
          <w:i w:val="false"/>
          <w:color w:val="000000"/>
          <w:sz w:val="24"/>
          <w:lang w:val="pl-PL"/>
        </w:rPr>
        <w:t>Wobec tego strona pozwana pozostaje w opóźnieniu w wypłacie podwyższonego uposażenia od 1 kwietnia 2023 r. Data początkowa naliczania odsetek została oznaczona zgodnie z żądaniem pozwu.</w:t>
      </w:r>
      <w:r>
        <w:rPr>
          <w:rFonts w:ascii="Times New Roman"/>
          <w:b w:val="false"/>
          <w:i w:val="false"/>
          <w:color w:val="000000"/>
          <w:sz w:val="24"/>
          <w:lang w:val="pl-PL"/>
        </w:rPr>
        <w:t xml:space="preserve"> </w:t>
      </w:r>
      <w:r>
        <w:rPr>
          <w:rFonts w:ascii="Times New Roman"/>
          <w:b w:val="false"/>
          <w:i w:val="false"/>
          <w:color w:val="000000"/>
          <w:sz w:val="24"/>
          <w:lang w:val="pl-PL"/>
        </w:rPr>
        <w:t xml:space="preserve">Z kolei stosownie do </w:t>
      </w:r>
      <w:r>
        <w:rPr>
          <w:rFonts w:ascii="Times New Roman"/>
          <w:b w:val="false"/>
          <w:i w:val="false"/>
          <w:color w:val="1b1b1b"/>
          <w:sz w:val="24"/>
          <w:lang w:val="pl-PL"/>
        </w:rPr>
        <w:t>art. 481 § 1</w:t>
      </w:r>
      <w:r>
        <w:rPr>
          <w:rFonts w:ascii="Times New Roman"/>
          <w:b w:val="false"/>
          <w:i w:val="false"/>
          <w:color w:val="000000"/>
          <w:sz w:val="24"/>
          <w:lang w:val="pl-PL"/>
        </w:rPr>
        <w:t xml:space="preserve"> k.c., jeżeli dłużnik opóźnia się ze spełnieniem świadczenia pieniężnego, wierzyciel może żądać odsetek za czas opóźnienia, chociażby nie poniósł żadnej szkody i chociażby opóźnienie było następstwem okoliczności, za które dłużnik odpowiedzialności nie ponosi.</w:t>
      </w:r>
      <w:r>
        <w:rPr>
          <w:rFonts w:ascii="Times New Roman"/>
          <w:b w:val="false"/>
          <w:i w:val="false"/>
          <w:color w:val="000000"/>
          <w:sz w:val="24"/>
          <w:lang w:val="pl-PL"/>
        </w:rPr>
        <w:t xml:space="preserve"> </w:t>
      </w:r>
      <w:r>
        <w:rPr>
          <w:rFonts w:ascii="Times New Roman"/>
          <w:b w:val="false"/>
          <w:i w:val="false"/>
          <w:color w:val="000000"/>
          <w:sz w:val="24"/>
          <w:lang w:val="pl-PL"/>
        </w:rPr>
        <w:t>Wysokość odsetek, w braku odmiennej umowy, oznaczono jako odsetki ustawowe za opóźnienie.</w:t>
      </w:r>
    </w:p>
    <w:p>
      <w:pPr>
        <w:spacing w:before="25" w:after="0"/>
        <w:ind w:left="0"/>
        <w:jc w:val="left"/>
        <w:textAlignment w:val="auto"/>
      </w:pPr>
      <w:r>
        <w:rPr>
          <w:rFonts w:ascii="Times New Roman"/>
          <w:b w:val="false"/>
          <w:i w:val="false"/>
          <w:color w:val="000000"/>
          <w:sz w:val="24"/>
          <w:lang w:val="pl-PL"/>
        </w:rPr>
        <w:t>Tak argumentując, Sąd Rejonowy orzekł jak w punktach I. i II. wyroku, oddalając powództwo jedynie co do różnicy wynikającej z zaokrąglenia żądanej pozwem kwoty do wskazanej w nim wartości przedmiotu sporu.</w:t>
      </w:r>
    </w:p>
    <w:p>
      <w:pPr>
        <w:spacing w:before="25" w:after="0"/>
        <w:ind w:left="0"/>
        <w:jc w:val="left"/>
        <w:textAlignment w:val="auto"/>
      </w:pPr>
      <w:r>
        <w:rPr>
          <w:rFonts w:ascii="Times New Roman"/>
          <w:b w:val="false"/>
          <w:i w:val="false"/>
          <w:color w:val="000000"/>
          <w:sz w:val="24"/>
          <w:lang w:val="pl-PL"/>
        </w:rPr>
        <w:t xml:space="preserve">O kosztach procesu Sąd I instancji orzekł w punkcie III. wyroku na podstawie </w:t>
      </w:r>
      <w:r>
        <w:rPr>
          <w:rFonts w:ascii="Times New Roman"/>
          <w:b w:val="false"/>
          <w:i w:val="false"/>
          <w:color w:val="1b1b1b"/>
          <w:sz w:val="24"/>
          <w:lang w:val="pl-PL"/>
        </w:rPr>
        <w:t>art. 98 § 1</w:t>
      </w:r>
      <w:r>
        <w:rPr>
          <w:rFonts w:ascii="Times New Roman"/>
          <w:b w:val="false"/>
          <w:i w:val="false"/>
          <w:color w:val="000000"/>
          <w:sz w:val="24"/>
          <w:lang w:val="pl-PL"/>
        </w:rPr>
        <w:t xml:space="preserve"> k.p.c., zgodnie z regułami ogólnymi obowiązującymi w postępowaniu cywilnym strona przegrywająca sprawę obowiązana jest zwrócić przeciwnikowi na jego żądanie koszty niezbędne do celowego dochodzenia praw i celowej obrony. Koszty postępowania poniesione przez powoda stosownie do zasady odpowiedzialności za wynik procesu określonej w </w:t>
      </w:r>
      <w:r>
        <w:rPr>
          <w:rFonts w:ascii="Times New Roman"/>
          <w:b w:val="false"/>
          <w:i w:val="false"/>
          <w:color w:val="1b1b1b"/>
          <w:sz w:val="24"/>
          <w:lang w:val="pl-PL"/>
        </w:rPr>
        <w:t>art. 98 § 1</w:t>
      </w:r>
      <w:r>
        <w:rPr>
          <w:rFonts w:ascii="Times New Roman"/>
          <w:b w:val="false"/>
          <w:i w:val="false"/>
          <w:color w:val="000000"/>
          <w:sz w:val="24"/>
          <w:lang w:val="pl-PL"/>
        </w:rPr>
        <w:t xml:space="preserve"> k.p.c., obciążają stronę pozwaną, jako stronę przegrywającą proces. Wysokość tych kosztów została ustalona na podstawie </w:t>
      </w:r>
      <w:r>
        <w:rPr>
          <w:rFonts w:ascii="Times New Roman"/>
          <w:b w:val="false"/>
          <w:i w:val="false"/>
          <w:color w:val="1b1b1b"/>
          <w:sz w:val="24"/>
          <w:lang w:val="pl-PL"/>
        </w:rPr>
        <w:t>§ 2 pkt 2</w:t>
      </w:r>
      <w:r>
        <w:rPr>
          <w:rFonts w:ascii="Times New Roman"/>
          <w:b w:val="false"/>
          <w:i w:val="false"/>
          <w:color w:val="000000"/>
          <w:sz w:val="24"/>
          <w:lang w:val="pl-PL"/>
        </w:rPr>
        <w:t xml:space="preserve"> w zw. z </w:t>
      </w:r>
      <w:r>
        <w:rPr>
          <w:rFonts w:ascii="Times New Roman"/>
          <w:b w:val="false"/>
          <w:i w:val="false"/>
          <w:color w:val="1b1b1b"/>
          <w:sz w:val="24"/>
          <w:lang w:val="pl-PL"/>
        </w:rPr>
        <w:t>§ 9 pkt 2</w:t>
      </w:r>
      <w:r>
        <w:rPr>
          <w:rFonts w:ascii="Times New Roman"/>
          <w:b w:val="false"/>
          <w:i w:val="false"/>
          <w:color w:val="000000"/>
          <w:sz w:val="24"/>
          <w:lang w:val="pl-PL"/>
        </w:rPr>
        <w:t xml:space="preserve"> rozporządzenia Ministra Sprawiedliwości z 22 października 2015 r. w sprawie opłat za czynności radców prawnych (Dz. U. z 2023 r. poz. 1935). Z uwagi na wartość przedmiotu sporu, wysokość należnego stronie powodowej kosztu zastępstwa procesowego wynosiła 202,50 złotych. Uiszczona opłata sądowa od pozwu wyniosła 100 złotych (</w:t>
      </w:r>
      <w:r>
        <w:rPr>
          <w:rFonts w:ascii="Times New Roman"/>
          <w:b w:val="false"/>
          <w:i w:val="false"/>
          <w:color w:val="1b1b1b"/>
          <w:sz w:val="24"/>
          <w:lang w:val="pl-PL"/>
        </w:rPr>
        <w:t>art. 13 ust. 1 pkt 2</w:t>
      </w:r>
      <w:r>
        <w:rPr>
          <w:rFonts w:ascii="Times New Roman"/>
          <w:b w:val="false"/>
          <w:i w:val="false"/>
          <w:color w:val="000000"/>
          <w:sz w:val="24"/>
          <w:lang w:val="pl-PL"/>
        </w:rPr>
        <w:t xml:space="preserve"> ustawy z 28 lipca 2005 r. o kosztach sądowych w sprawach cywilnych Dz. U. z 2025 r. poz. 1228). Odsetki od tej kwoty zostały orzeczone na podstawie </w:t>
      </w:r>
      <w:r>
        <w:rPr>
          <w:rFonts w:ascii="Times New Roman"/>
          <w:b w:val="false"/>
          <w:i w:val="false"/>
          <w:color w:val="1b1b1b"/>
          <w:sz w:val="24"/>
          <w:lang w:val="pl-PL"/>
        </w:rPr>
        <w:t>art. 98 § 1</w:t>
      </w:r>
      <w:r>
        <w:rPr>
          <w:rFonts w:ascii="Times New Roman"/>
          <w:b w:val="false"/>
          <w:i w:val="false"/>
          <w:color w:val="1b1b1b"/>
          <w:sz w:val="24"/>
          <w:vertAlign w:val="superscript"/>
          <w:lang w:val="pl-PL"/>
        </w:rPr>
        <w:t>1</w:t>
      </w:r>
      <w:r>
        <w:rPr>
          <w:rFonts w:ascii="Times New Roman"/>
          <w:b w:val="false"/>
          <w:i w:val="false"/>
          <w:color w:val="000000"/>
          <w:sz w:val="24"/>
          <w:lang w:val="pl-PL"/>
        </w:rPr>
        <w:t xml:space="preserve"> k.p.c.</w:t>
      </w:r>
    </w:p>
    <w:p>
      <w:pPr>
        <w:spacing w:before="25" w:after="0"/>
        <w:ind w:left="0"/>
        <w:jc w:val="left"/>
        <w:textAlignment w:val="auto"/>
      </w:pPr>
      <w:r>
        <w:rPr>
          <w:rFonts w:ascii="Times New Roman"/>
          <w:b w:val="false"/>
          <w:i w:val="false"/>
          <w:color w:val="000000"/>
          <w:sz w:val="24"/>
          <w:lang w:val="pl-PL"/>
        </w:rPr>
        <w:t>Strona pozwana - Skarb Państwa - Zakład Karny w K. - wniosła apelację od powyższego wyroku zaskarżając go w części, tj. co do pkt I i III, wnosząc o oddalenie powództwa w całości i zasądzenie od powoda na rzecz pozwanego kosztów postępowania, w tym kosztów zastępstwa procesowego za I i II instancję według norm przepisanych.</w:t>
      </w:r>
    </w:p>
    <w:p>
      <w:pPr>
        <w:spacing w:before="25" w:after="0"/>
        <w:ind w:left="0"/>
        <w:jc w:val="left"/>
        <w:textAlignment w:val="auto"/>
      </w:pPr>
      <w:r>
        <w:rPr>
          <w:rFonts w:ascii="Times New Roman"/>
          <w:b w:val="false"/>
          <w:i w:val="false"/>
          <w:color w:val="000000"/>
          <w:sz w:val="24"/>
          <w:lang w:val="pl-PL"/>
        </w:rPr>
        <w:t>Zaskarżonemu orzeczeniu strona apelująca zarzuciła naruszenie:</w:t>
      </w:r>
    </w:p>
    <w:p>
      <w:pPr>
        <w:spacing w:before="25" w:after="0"/>
        <w:ind w:left="0"/>
        <w:jc w:val="left"/>
        <w:textAlignment w:val="auto"/>
      </w:pPr>
      <w:r>
        <w:rPr>
          <w:rFonts w:ascii="Times New Roman"/>
          <w:b w:val="false"/>
          <w:i w:val="false"/>
          <w:color w:val="000000"/>
          <w:sz w:val="24"/>
          <w:lang w:val="pl-PL"/>
        </w:rPr>
        <w:t>- art. 41 ustawy z dnia 1 grudnia 2022 r. o szczególnych rozwiązaniach służących realizacji ustawy budżetowej na 2023 r. poprzez jego nie zastosowanie i przyjęcie, że pozwanemu należy się wyrównanie uposażenia zasadniczego oraz dodatku za wysługę lat w związku z podwyższeniem kwoty bazowej w 2023 r., mimo że zgodnie z tym przepisem realizacja podwyżki nastąpiła z dniem 1 marca 2023 r. a powód został zwolniony ze służby z dniem 14 lutego 2023 r.</w:t>
      </w:r>
    </w:p>
    <w:p>
      <w:pPr>
        <w:spacing w:before="25" w:after="0"/>
        <w:ind w:left="0"/>
        <w:jc w:val="left"/>
        <w:textAlignment w:val="auto"/>
      </w:pPr>
      <w:r>
        <w:rPr>
          <w:rFonts w:ascii="Times New Roman"/>
          <w:b w:val="false"/>
          <w:i w:val="false"/>
          <w:color w:val="000000"/>
          <w:sz w:val="24"/>
          <w:lang w:val="pl-PL"/>
        </w:rPr>
        <w:t>W uzasadnieniu apelacji strona skarżąca zwróciła uwagę na wyrok Sądu Rejonowego w (...) VII Wydział Pracy i Ubezpieczeń Społecznych z dnia 21 sierpnia 2025 r., sygn. akt VII P 83/25, który został wydany na podstawie tożsamego stanu faktycznego dotyczącego funkcjonariusza służby więziennej zwolnionego ze służby z dniem 24 lutego 2023 r. Wyrokiem tym Sąd ten oddalił powództwo powoda-funkcjonariusza, uznając że za pracę wykonywaną od marca do grudnia 2023, wynagrodzenie wyliczane było na podstawie art. 41 ust. 3 ww. ustawy. Wbrew twierdzeniom powoda, nie było to wynagrodzenie za styczeń i luty 2023 r. Nieusprawiedliwione jest zatem twierdzenie, że funkcjonariusze zatrudnieni do 28 lutego 2023 r. wykonywali taką samą pracę, jak funkcjonariusze pracujących po tej dacie.</w:t>
      </w:r>
      <w:r>
        <w:rPr>
          <w:rFonts w:ascii="Times New Roman"/>
          <w:b w:val="false"/>
          <w:i w:val="false"/>
          <w:color w:val="000000"/>
          <w:sz w:val="24"/>
          <w:lang w:val="pl-PL"/>
        </w:rPr>
        <w:t xml:space="preserve"> </w:t>
      </w:r>
      <w:r>
        <w:rPr>
          <w:rFonts w:ascii="Times New Roman"/>
          <w:b w:val="false"/>
          <w:i w:val="false"/>
          <w:color w:val="000000"/>
          <w:sz w:val="24"/>
          <w:lang w:val="pl-PL"/>
        </w:rPr>
        <w:t>Zasada równego traktowania w zatrudnieniu dotyczy pracowników zatrudnionych, a nie byłych pracowników i obecnych.</w:t>
      </w:r>
      <w:r>
        <w:rPr>
          <w:rFonts w:ascii="Times New Roman"/>
          <w:b w:val="false"/>
          <w:i w:val="false"/>
          <w:color w:val="000000"/>
          <w:sz w:val="24"/>
          <w:lang w:val="pl-PL"/>
        </w:rPr>
        <w:t xml:space="preserve"> </w:t>
      </w:r>
      <w:r>
        <w:rPr>
          <w:rFonts w:ascii="Times New Roman"/>
          <w:b w:val="false"/>
          <w:i w:val="false"/>
          <w:color w:val="000000"/>
          <w:sz w:val="24"/>
          <w:lang w:val="pl-PL"/>
        </w:rPr>
        <w:t>Przez cały 2023 r. funkcjonariusze zatrudnieni za ten sam miesiąc otrzymywali uposażenie naliczone według tych samych zasad. Jak wynika z wcześniejszych rozważań, funkcjonariusz nie ma zagwarantowanego prawo do podwyżki wynagrodzenia z dniem 01.01. każdego kolejnego roku. Pozwany w całości podziela argumentację Sądu Rejonowego w (...), poniżej przytaczając jego pisemne uzasadnienie.</w:t>
      </w:r>
    </w:p>
    <w:p>
      <w:pPr>
        <w:spacing w:before="25" w:after="0"/>
        <w:ind w:left="0"/>
        <w:jc w:val="left"/>
        <w:textAlignment w:val="auto"/>
      </w:pPr>
      <w:r>
        <w:rPr>
          <w:rFonts w:ascii="Times New Roman"/>
          <w:b w:val="false"/>
          <w:i w:val="false"/>
          <w:color w:val="000000"/>
          <w:sz w:val="24"/>
          <w:lang w:val="pl-PL"/>
        </w:rPr>
        <w:t>W ślad za uzasadnieniem wskazanego powyżej wyroku strona apelująca wskazała, że art. 41 ustawy z dnia 1 grudnia 2022 r. o szczególnych rozwiązaniach służących realizacji ustawy budżetowej na rok 2023 określał:</w:t>
      </w:r>
    </w:p>
    <w:p>
      <w:pPr>
        <w:spacing w:before="25" w:after="0"/>
        <w:ind w:left="0"/>
        <w:jc w:val="left"/>
        <w:textAlignment w:val="auto"/>
      </w:pPr>
      <w:r>
        <w:rPr>
          <w:rFonts w:ascii="Times New Roman"/>
          <w:b w:val="false"/>
          <w:i w:val="false"/>
          <w:color w:val="000000"/>
          <w:sz w:val="24"/>
          <w:lang w:val="pl-PL"/>
        </w:rPr>
        <w:t>1) Kwoty bazowe ustalone w ustawie budżetowej na rok 2023 dla żołnierzy zawodowych, funkcjonariuszy oraz funkcjonariuszy (...) (...)-Skarbowej stosuje się do obliczenia ich uposażeń w okresie od dnia 1 marca 2023 r. do dnia 31 grudnia 2023 r.</w:t>
      </w:r>
    </w:p>
    <w:p>
      <w:pPr>
        <w:spacing w:before="25" w:after="0"/>
        <w:ind w:left="0"/>
        <w:jc w:val="left"/>
        <w:textAlignment w:val="auto"/>
      </w:pPr>
      <w:r>
        <w:rPr>
          <w:rFonts w:ascii="Times New Roman"/>
          <w:b w:val="false"/>
          <w:i w:val="false"/>
          <w:color w:val="000000"/>
          <w:sz w:val="24"/>
          <w:lang w:val="pl-PL"/>
        </w:rPr>
        <w:t xml:space="preserve">2) Do obliczenia uposażeń żołnierzy zawodowych, funkcjonariuszy oraz funkcjonariuszy (...)-Skarbowej należnych od dnia 1 stycznia 2023 r. do dnia 28 lutego 2023 r. stosuje się kwoty bazowe ustalone w </w:t>
      </w:r>
      <w:r>
        <w:rPr>
          <w:rFonts w:ascii="Times New Roman"/>
          <w:b w:val="false"/>
          <w:i w:val="false"/>
          <w:color w:val="1b1b1b"/>
          <w:sz w:val="24"/>
          <w:lang w:val="pl-PL"/>
        </w:rPr>
        <w:t>ustawie</w:t>
      </w:r>
      <w:r>
        <w:rPr>
          <w:rFonts w:ascii="Times New Roman"/>
          <w:b w:val="false"/>
          <w:i w:val="false"/>
          <w:color w:val="000000"/>
          <w:sz w:val="24"/>
          <w:lang w:val="pl-PL"/>
        </w:rPr>
        <w:t xml:space="preserve"> budżetowej na rok 2022 z dnia 17 grudnia 2021 r. (Dz. U. z 2022 r. poz. 270).</w:t>
      </w:r>
    </w:p>
    <w:p>
      <w:pPr>
        <w:spacing w:before="25" w:after="0"/>
        <w:ind w:left="0"/>
        <w:jc w:val="left"/>
        <w:textAlignment w:val="auto"/>
      </w:pPr>
      <w:r>
        <w:rPr>
          <w:rFonts w:ascii="Times New Roman"/>
          <w:b w:val="false"/>
          <w:i w:val="false"/>
          <w:color w:val="000000"/>
          <w:sz w:val="24"/>
          <w:lang w:val="pl-PL"/>
        </w:rPr>
        <w:t>3) Uposażenie żołnierzy zawodowych, funkcjonariuszy oraz funkcjonariuszy (...)-Skarbowej wypłacane w okresie od dnia 1 marca 2023 r. do dnia 31 grudnia 2023 r. podlega każdorazowemu zwiększeniu o 1/5 kwoty różnicy pomiędzy uposażeniem należnym na dzień 1 marca 2023 r. obliczonym na podstawie kwoty bazowej ustalonej w ustawie budżetowej na rok 2023 odpowiednio dla żołnierzy zawodowych, funkcjonariuszy oraz funkcjonariuszy Służby Celno-Skarbowej a uposażeniem należnym na dzień 1 stycznia 2023 r. obliczonym zgodnie z ust. 2.</w:t>
      </w:r>
    </w:p>
    <w:p>
      <w:pPr>
        <w:spacing w:before="25" w:after="0"/>
        <w:ind w:left="0"/>
        <w:jc w:val="left"/>
        <w:textAlignment w:val="auto"/>
      </w:pPr>
      <w:r>
        <w:rPr>
          <w:rFonts w:ascii="Times New Roman"/>
          <w:b w:val="false"/>
          <w:i w:val="false"/>
          <w:color w:val="000000"/>
          <w:sz w:val="24"/>
          <w:lang w:val="pl-PL"/>
        </w:rPr>
        <w:t xml:space="preserve">4) Do podwyższenia uposażeń żołnierzy zawodowych, funkcjonariuszy oraz funkcjonariuszy (...) (...)-Skarbowej nie stosuje się przepisu </w:t>
      </w:r>
      <w:r>
        <w:rPr>
          <w:rFonts w:ascii="Times New Roman"/>
          <w:b w:val="false"/>
          <w:i w:val="false"/>
          <w:color w:val="1b1b1b"/>
          <w:sz w:val="24"/>
          <w:lang w:val="pl-PL"/>
        </w:rPr>
        <w:t>art. 8 ust. 1</w:t>
      </w:r>
      <w:r>
        <w:rPr>
          <w:rFonts w:ascii="Times New Roman"/>
          <w:b w:val="false"/>
          <w:i w:val="false"/>
          <w:color w:val="000000"/>
          <w:sz w:val="24"/>
          <w:lang w:val="pl-PL"/>
        </w:rPr>
        <w:t xml:space="preserve"> ustawy z dnia 23 grudnia 1999 r. o kształtowaniu wynagrodzeń w państwowej sferze budżetowej oraz o zmianie niektórych ustaw.</w:t>
      </w:r>
    </w:p>
    <w:p>
      <w:pPr>
        <w:spacing w:before="25" w:after="0"/>
        <w:ind w:left="0"/>
        <w:jc w:val="left"/>
        <w:textAlignment w:val="auto"/>
      </w:pPr>
      <w:r>
        <w:rPr>
          <w:rFonts w:ascii="Times New Roman"/>
          <w:b w:val="false"/>
          <w:i w:val="false"/>
          <w:color w:val="000000"/>
          <w:sz w:val="24"/>
          <w:lang w:val="pl-PL"/>
        </w:rPr>
        <w:t>5) Podwyższenie uposażeń żołnierzy zawodowych, funkcjonariuszy oraz funkcjonariuszy Służby (...)-Skarbowej, wraz ze zwiększeniem, o którym mowa w ust. 3, następuje w ciągu 3 miesięcy po dniu ogłoszenia ustawy budżetowej na rok 2023, z wyrównaniem od dnia 1 marca 2023 r.</w:t>
      </w:r>
    </w:p>
    <w:p>
      <w:pPr>
        <w:spacing w:before="25" w:after="0"/>
        <w:ind w:left="0"/>
        <w:jc w:val="left"/>
        <w:textAlignment w:val="auto"/>
      </w:pPr>
      <w:r>
        <w:rPr>
          <w:rFonts w:ascii="Times New Roman"/>
          <w:b w:val="false"/>
          <w:i w:val="false"/>
          <w:color w:val="000000"/>
          <w:sz w:val="24"/>
          <w:lang w:val="pl-PL"/>
        </w:rPr>
        <w:t xml:space="preserve">Powyższe przepisy - </w:t>
      </w:r>
      <w:r>
        <w:rPr>
          <w:rFonts w:ascii="Times New Roman"/>
          <w:b w:val="false"/>
          <w:i w:val="false"/>
          <w:color w:val="1b1b1b"/>
          <w:sz w:val="24"/>
          <w:lang w:val="pl-PL"/>
        </w:rPr>
        <w:t>art. 41 ust. 1</w:t>
      </w:r>
      <w:r>
        <w:rPr>
          <w:rFonts w:ascii="Times New Roman"/>
          <w:b w:val="false"/>
          <w:i w:val="false"/>
          <w:color w:val="000000"/>
          <w:sz w:val="24"/>
          <w:lang w:val="pl-PL"/>
        </w:rPr>
        <w:t xml:space="preserve"> i 2 - były podstawą utrzymania wysokości uposażenia powoda w okresie styczeń-luty 2023 r. na poziomie ustalonym od 1 stycznia 2022 r. Stosując je pozwany wypłacał powodowi uposażenie w niezmienionej wysokości.</w:t>
      </w:r>
    </w:p>
    <w:p>
      <w:pPr>
        <w:spacing w:before="25" w:after="0"/>
        <w:ind w:left="0"/>
        <w:jc w:val="left"/>
        <w:textAlignment w:val="auto"/>
      </w:pPr>
      <w:r>
        <w:rPr>
          <w:rFonts w:ascii="Times New Roman"/>
          <w:b w:val="false"/>
          <w:i w:val="false"/>
          <w:color w:val="000000"/>
          <w:sz w:val="24"/>
          <w:lang w:val="pl-PL"/>
        </w:rPr>
        <w:t>Dalej apelujący wskazał, że zgodnie z przywołanym powyżej wyrokiem, Ustawa o Służbie Więziennej nie zawiera żadnych przepisów, które pozwalałyby funkcjonariuszowi na hipotetyczne obliczenie swojego wynagrodzenia do czasu uchwalenia ustawy budżetowej. Zgodnie z art. 56 ust. 3 ustawy o SW, przeciętne uposażenie funkcjonariuszy stanowi wielokrotność kwoty bazowej, której wysokość ustaloną według odrębnych zasad określa ustawa budżetowa. Zasady ustalania kwoty bazowej zawarte są w ustawie z 23 grudnia 1999 r. o kształtowaniu wynagrodzeń z państwowej sferze budżetowej oraz o zmianie niektórych ustaw.</w:t>
      </w:r>
      <w:r>
        <w:rPr>
          <w:rFonts w:ascii="Times New Roman"/>
          <w:b w:val="false"/>
          <w:i w:val="false"/>
          <w:color w:val="000000"/>
          <w:sz w:val="24"/>
          <w:lang w:val="pl-PL"/>
        </w:rPr>
        <w:t xml:space="preserve"> </w:t>
      </w:r>
      <w:r>
        <w:rPr>
          <w:rFonts w:ascii="Times New Roman"/>
          <w:b w:val="false"/>
          <w:i w:val="false"/>
          <w:color w:val="000000"/>
          <w:sz w:val="24"/>
          <w:lang w:val="pl-PL"/>
        </w:rPr>
        <w:t>Ustalona według wskazanych tam zasad kwota bazowa znajduje się ostatecznie w ustawie budżetowej".</w:t>
      </w:r>
    </w:p>
    <w:p>
      <w:pPr>
        <w:spacing w:before="25" w:after="0"/>
        <w:ind w:left="0"/>
        <w:jc w:val="left"/>
        <w:textAlignment w:val="auto"/>
      </w:pPr>
      <w:r>
        <w:rPr>
          <w:rFonts w:ascii="Times New Roman"/>
          <w:b w:val="false"/>
          <w:i w:val="false"/>
          <w:color w:val="000000"/>
          <w:sz w:val="24"/>
          <w:lang w:val="pl-PL"/>
        </w:rPr>
        <w:t>Dalej apelujący przytoczył treść wyroku Trybunału Konstytucyjnego z 17 listopada 2003 r. (</w:t>
      </w:r>
      <w:r>
        <w:rPr>
          <w:rFonts w:ascii="Times New Roman"/>
          <w:b w:val="false"/>
          <w:i w:val="false"/>
          <w:color w:val="1b1b1b"/>
          <w:sz w:val="24"/>
          <w:lang w:val="pl-PL"/>
        </w:rPr>
        <w:t>K 32/02</w:t>
      </w:r>
      <w:r>
        <w:rPr>
          <w:rFonts w:ascii="Times New Roman"/>
          <w:b w:val="false"/>
          <w:i w:val="false"/>
          <w:color w:val="000000"/>
          <w:sz w:val="24"/>
          <w:lang w:val="pl-PL"/>
        </w:rPr>
        <w:t>) wskazując, iż z orzeczenia tego wynika, że o ochronie prawa powoda do wynagrodzenia w wyższej wysokości można by mówić wtedy, gdyby prawo to należało do kategorii ekspektatyw maksymalnie ukształtowanych tj. takich, które spełniają wszystkie zasadnicze przesłanki ustawowe nabycia praw pod rządami danej ustawy, bez względu na stosunek do niej późniejszej ustawy.</w:t>
      </w:r>
      <w:r>
        <w:rPr>
          <w:rFonts w:ascii="Times New Roman"/>
          <w:b w:val="false"/>
          <w:i w:val="false"/>
          <w:color w:val="000000"/>
          <w:sz w:val="24"/>
          <w:lang w:val="pl-PL"/>
        </w:rPr>
        <w:t xml:space="preserve"> </w:t>
      </w:r>
      <w:r>
        <w:rPr>
          <w:rFonts w:ascii="Times New Roman"/>
          <w:b w:val="false"/>
          <w:i w:val="false"/>
          <w:color w:val="000000"/>
          <w:sz w:val="24"/>
          <w:lang w:val="pl-PL"/>
        </w:rPr>
        <w:t>Tymczasem ustawa o SW nie zawiera takich przesłanek, odsyłając w art. 56 ust. 3 i 4 do ustawy budżetowej i rozporządzeń Rady Ministrów.</w:t>
      </w:r>
    </w:p>
    <w:p>
      <w:pPr>
        <w:spacing w:before="25" w:after="0"/>
        <w:ind w:left="0"/>
        <w:jc w:val="left"/>
        <w:textAlignment w:val="auto"/>
      </w:pPr>
      <w:r>
        <w:rPr>
          <w:rFonts w:ascii="Times New Roman"/>
          <w:b w:val="false"/>
          <w:i w:val="false"/>
          <w:color w:val="000000"/>
          <w:sz w:val="24"/>
          <w:lang w:val="pl-PL"/>
        </w:rPr>
        <w:t>W cytowanym powyżej wyroku Trybunał wskazał, że ustawa z dnia 23 grudnia 1999 r. o kształtowaniu wynagrodzeń w państwowej sferze budżetowej nie gwarantuje w sposób bezwarunkowy pracownikom sfery budżetowej stałego corocznego wzrostu ich wynagrodzeń w określonej wysokości.</w:t>
      </w:r>
      <w:r>
        <w:rPr>
          <w:rFonts w:ascii="Times New Roman"/>
          <w:b w:val="false"/>
          <w:i w:val="false"/>
          <w:color w:val="000000"/>
          <w:sz w:val="24"/>
          <w:lang w:val="pl-PL"/>
        </w:rPr>
        <w:t xml:space="preserve"> </w:t>
      </w:r>
      <w:r>
        <w:rPr>
          <w:rFonts w:ascii="Times New Roman"/>
          <w:b w:val="false"/>
          <w:i w:val="false"/>
          <w:color w:val="000000"/>
          <w:sz w:val="24"/>
          <w:lang w:val="pl-PL"/>
        </w:rPr>
        <w:t>Przewiduje jedynie waloryzację wynagrodzeń średniorocznym wskaźnikiem wzrostu wynagrodzeń ustalanych corocznie, tj. okresowo, na podstawie prognoz budżetowych i corocznie ustalonego wskaźnika.</w:t>
      </w:r>
      <w:r>
        <w:rPr>
          <w:rFonts w:ascii="Times New Roman"/>
          <w:b w:val="false"/>
          <w:i w:val="false"/>
          <w:color w:val="000000"/>
          <w:sz w:val="24"/>
          <w:lang w:val="pl-PL"/>
        </w:rPr>
        <w:t xml:space="preserve"> </w:t>
      </w:r>
      <w:r>
        <w:rPr>
          <w:rFonts w:ascii="Times New Roman"/>
          <w:b w:val="false"/>
          <w:i w:val="false"/>
          <w:color w:val="000000"/>
          <w:sz w:val="24"/>
          <w:lang w:val="pl-PL"/>
        </w:rPr>
        <w:t>Jak słusznie zauważa J. Sejmu, wysokość wynagrodzeń tej grupy społecznej determinowana jest i to bezpośrednio sytuacją budżetową państwa. W związku z tym trzeba dopuścić występowanie ryzyka możliwości ograniczenia potencjalnego wzrostu wynagrodzeń, a to w przypadku niekorzystnego kształtowania się prognozowanych składników określających sytuację budżetową państwa. W tych uwarunkowaniach nie można mówić o pracowniczym prawie podmiotowym do automatycznej waloryzacji wynagrodzenia i co za tym idzie - o nabyciu takiego prawa przez pracowników państwowej sfery budżetowej. Nie istnieje tu nawet prawna ekspektatywa, a tym bardziej - ekspektatywa maksymalnie ukształtowana. Przepisy przewidujące waloryzację wynagrodzeń, aczkolwiek nieobojętne dla sytuacji majątkowej pracowników, nie tworzą bezpośrednio indywidualnych praw podmiotowych i są - przede wszystkim - dyrektywami dla organów państwa, dotyczącymi gospodarowania funduszem płac sfery budżetowej.</w:t>
      </w:r>
    </w:p>
    <w:p>
      <w:pPr>
        <w:spacing w:before="25" w:after="0"/>
        <w:ind w:left="0"/>
        <w:jc w:val="left"/>
        <w:textAlignment w:val="auto"/>
      </w:pPr>
      <w:r>
        <w:rPr>
          <w:rFonts w:ascii="Times New Roman"/>
          <w:b w:val="false"/>
          <w:i w:val="false"/>
          <w:color w:val="000000"/>
          <w:sz w:val="24"/>
          <w:lang w:val="pl-PL"/>
        </w:rPr>
        <w:t xml:space="preserve">Sąd Rejonowy w (...) w całości podzielił ww. poglądy Trybunału i w niniejszej sprawie przyjął, że art. 41 ustawy z dnia 1 grudnia 2022 r. o szczególnych rozwiązaniach służących realizacji ustawy budżetowej na rok 2023 nie naruszał praw nabytych powoda ani </w:t>
      </w:r>
      <w:r>
        <w:rPr>
          <w:rFonts w:ascii="Times New Roman"/>
          <w:b w:val="false"/>
          <w:i w:val="false"/>
          <w:color w:val="1b1b1b"/>
          <w:sz w:val="24"/>
          <w:lang w:val="pl-PL"/>
        </w:rPr>
        <w:t>art. 2</w:t>
      </w:r>
      <w:r>
        <w:rPr>
          <w:rFonts w:ascii="Times New Roman"/>
          <w:b w:val="false"/>
          <w:i w:val="false"/>
          <w:color w:val="000000"/>
          <w:sz w:val="24"/>
          <w:lang w:val="pl-PL"/>
        </w:rPr>
        <w:t xml:space="preserve"> Konstytucji RP.</w:t>
      </w:r>
      <w:r>
        <w:rPr>
          <w:rFonts w:ascii="Times New Roman"/>
          <w:b w:val="false"/>
          <w:i w:val="false"/>
          <w:color w:val="000000"/>
          <w:sz w:val="24"/>
          <w:lang w:val="pl-PL"/>
        </w:rPr>
        <w:t xml:space="preserve"> </w:t>
      </w:r>
      <w:r>
        <w:rPr>
          <w:rFonts w:ascii="Times New Roman"/>
          <w:b w:val="false"/>
          <w:i w:val="false"/>
          <w:color w:val="000000"/>
          <w:sz w:val="24"/>
          <w:lang w:val="pl-PL"/>
        </w:rPr>
        <w:t>Celem tego przepisu było wprowadzenie mechanizmu zachęcającego do pozostawania w służbie czynnej żołnierzy zawodowych, funkcjonariuszy i funkcjonariuszy (...)-Skarbowej (por.</w:t>
      </w:r>
    </w:p>
    <w:p>
      <w:pPr>
        <w:spacing w:before="25" w:after="0"/>
        <w:ind w:left="0"/>
        <w:jc w:val="left"/>
        <w:textAlignment w:val="auto"/>
      </w:pPr>
      <w:r>
        <w:rPr>
          <w:rFonts w:ascii="Times New Roman"/>
          <w:b w:val="false"/>
          <w:i w:val="false"/>
          <w:color w:val="000000"/>
          <w:sz w:val="24"/>
          <w:lang w:val="pl-PL"/>
        </w:rPr>
        <w:t>uzasadnienie ustawy wprowadzającej ustawę budżetową na 2023 r. druk sejmowy nr (...)).</w:t>
      </w:r>
    </w:p>
    <w:p>
      <w:pPr>
        <w:spacing w:before="25" w:after="0"/>
        <w:ind w:left="0"/>
        <w:jc w:val="left"/>
        <w:textAlignment w:val="auto"/>
      </w:pPr>
      <w:r>
        <w:rPr>
          <w:rFonts w:ascii="Times New Roman"/>
          <w:b w:val="false"/>
          <w:i w:val="false"/>
          <w:color w:val="000000"/>
          <w:sz w:val="24"/>
          <w:lang w:val="pl-PL"/>
        </w:rPr>
        <w:t>W ocenie pozwanego nie doszło do dyskryminacji powoda z uwagi na to, że funkcjonariusz SW nie jest pracownikiem i jego relacja służbowa regulowana jest przez ustawę o SW, a nie przez przepisy kodeksu pracy. Mechanizm wprowadzony w art. 41 ust. 3 dotyczył wszystkich funkcjonariuszy zatrudnionych, tak samo jak mechanizm wskazany w art. 41 ust. 2. Ustawodawca nie różnicował funkcjonariuszy. Zasady wyliczania wynagrodzenie z art. 41 ust. 2 za styczeń i luty 2023 r. były takie same dla wszystkich zatrudnionych w tych miesiącach funkcjonariuszy.</w:t>
      </w:r>
    </w:p>
    <w:p>
      <w:pPr>
        <w:spacing w:before="25" w:after="0"/>
        <w:ind w:left="0"/>
        <w:jc w:val="left"/>
        <w:textAlignment w:val="auto"/>
      </w:pPr>
      <w:r>
        <w:rPr>
          <w:rFonts w:ascii="Times New Roman"/>
          <w:b w:val="false"/>
          <w:i w:val="false"/>
          <w:color w:val="000000"/>
          <w:sz w:val="24"/>
          <w:lang w:val="pl-PL"/>
        </w:rPr>
        <w:t>W odpowiedzi na apelację powód wniósł o jej oddalenie jako oczywiście bezzasadnej oraz o zasądzenie na jego rzecz od strony pozwanej kosztów postępowania apelacyjnego, w tym kosztów zastępstwa procesowego według norm przepisanych.</w:t>
      </w:r>
      <w:r>
        <w:rPr>
          <w:rFonts w:ascii="Times New Roman"/>
          <w:b w:val="false"/>
          <w:i w:val="false"/>
          <w:color w:val="000000"/>
          <w:sz w:val="24"/>
          <w:lang w:val="pl-PL"/>
        </w:rPr>
        <w:t xml:space="preserve"> </w:t>
      </w:r>
      <w:r>
        <w:rPr>
          <w:rFonts w:ascii="Times New Roman"/>
          <w:b w:val="false"/>
          <w:i w:val="false"/>
          <w:color w:val="000000"/>
          <w:sz w:val="24"/>
          <w:lang w:val="pl-PL"/>
        </w:rPr>
        <w:t>W uzasadnieniu swojego stanowiska wskazał, że nie jest wiadomo, czy wyrok Sądu Rejonowego w (...) na który powołuje się strona pozwana jest prawomocny.</w:t>
      </w:r>
      <w:r>
        <w:rPr>
          <w:rFonts w:ascii="Times New Roman"/>
          <w:b w:val="false"/>
          <w:i w:val="false"/>
          <w:color w:val="000000"/>
          <w:sz w:val="24"/>
          <w:lang w:val="pl-PL"/>
        </w:rPr>
        <w:t xml:space="preserve"> </w:t>
      </w:r>
      <w:r>
        <w:rPr>
          <w:rFonts w:ascii="Times New Roman"/>
          <w:b w:val="false"/>
          <w:i w:val="false"/>
          <w:color w:val="000000"/>
          <w:sz w:val="24"/>
          <w:lang w:val="pl-PL"/>
        </w:rPr>
        <w:t xml:space="preserve">Zdaniem powoda zasadnie Sąd Rejonowym dostrzegł sprzeczność art. 41 ust. 3 ustawy o szczególnych rozwiązaniach (...) z </w:t>
      </w:r>
      <w:r>
        <w:rPr>
          <w:rFonts w:ascii="Times New Roman"/>
          <w:b w:val="false"/>
          <w:i w:val="false"/>
          <w:color w:val="1b1b1b"/>
          <w:sz w:val="24"/>
          <w:lang w:val="pl-PL"/>
        </w:rPr>
        <w:t>art. 2</w:t>
      </w:r>
      <w:r>
        <w:rPr>
          <w:rFonts w:ascii="Times New Roman"/>
          <w:b w:val="false"/>
          <w:i w:val="false"/>
          <w:color w:val="000000"/>
          <w:sz w:val="24"/>
          <w:lang w:val="pl-PL"/>
        </w:rPr>
        <w:t xml:space="preserve">, </w:t>
      </w:r>
      <w:r>
        <w:rPr>
          <w:rFonts w:ascii="Times New Roman"/>
          <w:b w:val="false"/>
          <w:i w:val="false"/>
          <w:color w:val="1b1b1b"/>
          <w:sz w:val="24"/>
          <w:lang w:val="pl-PL"/>
        </w:rPr>
        <w:t>art. 32</w:t>
      </w:r>
      <w:r>
        <w:rPr>
          <w:rFonts w:ascii="Times New Roman"/>
          <w:b w:val="false"/>
          <w:i w:val="false"/>
          <w:color w:val="000000"/>
          <w:sz w:val="24"/>
          <w:lang w:val="pl-PL"/>
        </w:rPr>
        <w:t xml:space="preserve">, </w:t>
      </w:r>
      <w:r>
        <w:rPr>
          <w:rFonts w:ascii="Times New Roman"/>
          <w:b w:val="false"/>
          <w:i w:val="false"/>
          <w:color w:val="1b1b1b"/>
          <w:sz w:val="24"/>
          <w:lang w:val="pl-PL"/>
        </w:rPr>
        <w:t>art. 60</w:t>
      </w:r>
      <w:r>
        <w:rPr>
          <w:rFonts w:ascii="Times New Roman"/>
          <w:b w:val="false"/>
          <w:i w:val="false"/>
          <w:color w:val="000000"/>
          <w:sz w:val="24"/>
          <w:lang w:val="pl-PL"/>
        </w:rPr>
        <w:t xml:space="preserve"> Konstytucji RP i pry zastosowaniu prawnie przewidzianych narzędzi w postaci rozproszonej kontroli konstytucyjnej-pominął kwestionowany przepis art. 41 ustawy okołobudżetowej, stosując faktycznie </w:t>
      </w:r>
      <w:r>
        <w:rPr>
          <w:rFonts w:ascii="Times New Roman"/>
          <w:b w:val="false"/>
          <w:i w:val="false"/>
          <w:color w:val="1b1b1b"/>
          <w:sz w:val="24"/>
          <w:lang w:val="pl-PL"/>
        </w:rPr>
        <w:t>art. 8 ust. 1</w:t>
      </w:r>
      <w:r>
        <w:rPr>
          <w:rFonts w:ascii="Times New Roman"/>
          <w:b w:val="false"/>
          <w:i w:val="false"/>
          <w:color w:val="000000"/>
          <w:sz w:val="24"/>
          <w:lang w:val="pl-PL"/>
        </w:rPr>
        <w:t xml:space="preserve"> ustawy z dnia 12 grudnia 1999 r. o kształtowaniu wynagrodzeń w sferze budżetowej oraz o zmianie niektórych ustaw (DZ.U z 2024 r., poz. 1356), zgodnie z którym podwyższenie wynagrodzeń dla pracowników sfery budżetowej, a więc i także żołnierzy zawodowych i funkcjonariuszy, następuje w ciągu 3 miesięcy od ogłoszenia ustawy budżetowej, z wyrównaniem od dnia 1 stycznia danego roku.</w:t>
      </w:r>
    </w:p>
    <w:p>
      <w:pPr>
        <w:spacing w:before="164" w:after="0"/>
        <w:ind w:left="0"/>
        <w:jc w:val="left"/>
        <w:textAlignment w:val="auto"/>
      </w:pPr>
      <w:r>
        <w:rPr>
          <w:rFonts w:ascii="Times New Roman"/>
          <w:b/>
          <w:i w:val="false"/>
          <w:color w:val="000000"/>
          <w:sz w:val="24"/>
          <w:lang w:val="pl-PL"/>
        </w:rPr>
        <w:t>Uzasadnienie prawne</w:t>
      </w:r>
    </w:p>
    <w:p>
      <w:pPr>
        <w:spacing w:before="25" w:after="0"/>
        <w:ind w:left="0"/>
        <w:jc w:val="left"/>
        <w:textAlignment w:val="auto"/>
      </w:pPr>
      <w:r>
        <w:rPr>
          <w:rFonts w:ascii="Times New Roman"/>
          <w:b w:val="false"/>
          <w:i w:val="false"/>
          <w:color w:val="000000"/>
          <w:sz w:val="24"/>
          <w:lang w:val="pl-PL"/>
        </w:rPr>
        <w:t>Sąd Okręgowy zważył, co następuje:</w:t>
      </w:r>
    </w:p>
    <w:p>
      <w:pPr>
        <w:spacing w:before="25" w:after="0"/>
        <w:ind w:left="0"/>
        <w:jc w:val="left"/>
        <w:textAlignment w:val="auto"/>
      </w:pPr>
      <w:r>
        <w:rPr>
          <w:rFonts w:ascii="Times New Roman"/>
          <w:b w:val="false"/>
          <w:i w:val="false"/>
          <w:color w:val="000000"/>
          <w:sz w:val="24"/>
          <w:lang w:val="pl-PL"/>
        </w:rPr>
        <w:t>Apelacja strony pozwanej nie zasługiwała na uwzględnienie.</w:t>
      </w:r>
    </w:p>
    <w:p>
      <w:pPr>
        <w:spacing w:before="25" w:after="0"/>
        <w:ind w:left="0"/>
        <w:jc w:val="left"/>
        <w:textAlignment w:val="auto"/>
      </w:pPr>
      <w:r>
        <w:rPr>
          <w:rFonts w:ascii="Times New Roman"/>
          <w:b w:val="false"/>
          <w:i w:val="false"/>
          <w:color w:val="000000"/>
          <w:sz w:val="24"/>
          <w:lang w:val="pl-PL"/>
        </w:rPr>
        <w:t>W ocenie Sądu Okręgowego, Sąd Rejonowy w sposób prawidłowy dokonał analizy materiału dowodowego, poczynił ustalenia w zakresie stanu faktycznego oraz zastosował przepisy, skutkiem czego zaskarżony wyrok zawiera trafne i odpowiadające prawu rozstrzygnięcie. Sąd Okręgowy podziela dokonane przez Sąd Rejonowy ustalenia faktyczne i argumentację prawną przedstawioną w motywach zaskarżonego wyroku, przyjmując ustalenia i oceny tego Sądu za własne bez konieczności ich powielania.</w:t>
      </w:r>
      <w:r>
        <w:rPr>
          <w:rFonts w:ascii="Times New Roman"/>
          <w:b w:val="false"/>
          <w:i w:val="false"/>
          <w:color w:val="000000"/>
          <w:sz w:val="24"/>
          <w:lang w:val="pl-PL"/>
        </w:rPr>
        <w:t xml:space="preserve"> </w:t>
      </w:r>
      <w:r>
        <w:rPr>
          <w:rFonts w:ascii="Times New Roman"/>
          <w:b w:val="false"/>
          <w:i w:val="false"/>
          <w:color w:val="000000"/>
          <w:sz w:val="24"/>
          <w:lang w:val="pl-PL"/>
        </w:rPr>
        <w:t xml:space="preserve">(vide: orzeczenia Sądu Najwyższego z 13 grudnia 1935 r., </w:t>
      </w:r>
      <w:r>
        <w:rPr>
          <w:rFonts w:ascii="Times New Roman"/>
          <w:b w:val="false"/>
          <w:i w:val="false"/>
          <w:color w:val="1b1b1b"/>
          <w:sz w:val="24"/>
          <w:lang w:val="pl-PL"/>
        </w:rPr>
        <w:t>C III 680/34</w:t>
      </w:r>
      <w:r>
        <w:rPr>
          <w:rFonts w:ascii="Times New Roman"/>
          <w:b w:val="false"/>
          <w:i w:val="false"/>
          <w:color w:val="000000"/>
          <w:sz w:val="24"/>
          <w:lang w:val="pl-PL"/>
        </w:rPr>
        <w:t xml:space="preserve">; z 14 lutego 1938 r., C II 21172/37; z 10 listopada 1998 r., </w:t>
      </w:r>
      <w:r>
        <w:rPr>
          <w:rFonts w:ascii="Times New Roman"/>
          <w:b w:val="false"/>
          <w:i w:val="false"/>
          <w:color w:val="1b1b1b"/>
          <w:sz w:val="24"/>
          <w:lang w:val="pl-PL"/>
        </w:rPr>
        <w:t>III CKN 792/98</w:t>
      </w:r>
      <w:r>
        <w:rPr>
          <w:rFonts w:ascii="Times New Roman"/>
          <w:b w:val="false"/>
          <w:i w:val="false"/>
          <w:color w:val="000000"/>
          <w:sz w:val="24"/>
          <w:lang w:val="pl-PL"/>
        </w:rPr>
        <w:t xml:space="preserve">; z 9 marca 2006 r., </w:t>
      </w:r>
      <w:r>
        <w:rPr>
          <w:rFonts w:ascii="Times New Roman"/>
          <w:b w:val="false"/>
          <w:i w:val="false"/>
          <w:color w:val="1b1b1b"/>
          <w:sz w:val="24"/>
          <w:lang w:val="pl-PL"/>
        </w:rPr>
        <w:t>I CSK 147/05</w:t>
      </w:r>
      <w:r>
        <w:rPr>
          <w:rFonts w:ascii="Times New Roman"/>
          <w:b w:val="false"/>
          <w:i w:val="false"/>
          <w:color w:val="000000"/>
          <w:sz w:val="24"/>
          <w:lang w:val="pl-PL"/>
        </w:rPr>
        <w:t xml:space="preserve">; z 5 marca 2015 r., </w:t>
      </w:r>
      <w:r>
        <w:rPr>
          <w:rFonts w:ascii="Times New Roman"/>
          <w:b w:val="false"/>
          <w:i w:val="false"/>
          <w:color w:val="1b1b1b"/>
          <w:sz w:val="24"/>
          <w:lang w:val="pl-PL"/>
        </w:rPr>
        <w:t>V CSK 270/14</w:t>
      </w:r>
      <w:r>
        <w:rPr>
          <w:rFonts w:ascii="Times New Roman"/>
          <w:b w:val="false"/>
          <w:i w:val="false"/>
          <w:color w:val="000000"/>
          <w:sz w:val="24"/>
          <w:lang w:val="pl-PL"/>
        </w:rPr>
        <w:t>).</w:t>
      </w:r>
      <w:r>
        <w:rPr>
          <w:rFonts w:ascii="Times New Roman"/>
          <w:b w:val="false"/>
          <w:i w:val="false"/>
          <w:color w:val="000000"/>
          <w:sz w:val="24"/>
          <w:lang w:val="pl-PL"/>
        </w:rPr>
        <w:t xml:space="preserve"> </w:t>
      </w:r>
      <w:r>
        <w:rPr>
          <w:rFonts w:ascii="Times New Roman"/>
          <w:b w:val="false"/>
          <w:i w:val="false"/>
          <w:color w:val="000000"/>
          <w:sz w:val="24"/>
          <w:lang w:val="pl-PL"/>
        </w:rPr>
        <w:t>Sąd II instancji nie dopatrzył się naruszenia przez Sąd I instancji przepisów, skutkujących koniecznością - zgodnie z żądaniem apelacji - zmiany tegoż orzeczenia, ewentualnie uchyleniem zaskarżonego wyroku.</w:t>
      </w:r>
    </w:p>
    <w:p>
      <w:pPr>
        <w:spacing w:before="25" w:after="0"/>
        <w:ind w:left="0"/>
        <w:jc w:val="left"/>
        <w:textAlignment w:val="auto"/>
      </w:pPr>
      <w:r>
        <w:rPr>
          <w:rFonts w:ascii="Times New Roman"/>
          <w:b w:val="false"/>
          <w:i w:val="false"/>
          <w:color w:val="000000"/>
          <w:sz w:val="24"/>
          <w:lang w:val="pl-PL"/>
        </w:rPr>
        <w:t>W okolicznościach niniejszej sprawy za chybiony należało uznać podniesiony przez skarżącego zarzut dotyczący naruszenia przez Sąd Rejonowy art. 41 ustawy z dnia 1 grudnia 2022 r. o szczególnych rozwiązaniach służących realizacji ustawy budżetowej na 2023 r. poprzez jego nie zastosowanie i przyjęcie przez ten Sąd, że powodowi należy się wyrównanie uposażenia zasadniczego oraz dodatku za wysługę lat w związku z podwyższeniem kwoty bazowej w 2023 r. mimo, że zgodnie z tym przepisem realizacja podwyżki nastąpiła z dniem 1 marca 2023 r. a powód został zwolniony ze służby z dniem 14 lutego 2023 r.</w:t>
      </w:r>
    </w:p>
    <w:p>
      <w:pPr>
        <w:spacing w:before="25" w:after="0"/>
        <w:ind w:left="0"/>
        <w:jc w:val="left"/>
        <w:textAlignment w:val="auto"/>
      </w:pPr>
      <w:r>
        <w:rPr>
          <w:rFonts w:ascii="Times New Roman"/>
          <w:b w:val="false"/>
          <w:i w:val="false"/>
          <w:color w:val="000000"/>
          <w:sz w:val="24"/>
          <w:lang w:val="pl-PL"/>
        </w:rPr>
        <w:t xml:space="preserve">Odnosząc się do powyższego zarzutu apelacji należy podać w pierwszej kolejności, iż jakkolwiek w orzecznictwie i literaturze wypowiadane są tezy, że sądy i inne organy stosowania prawa nie mają kompetencji do orzekania o niekonstytucyjności przepisu ustawy i odmowy jego stosowania (przede wszystkim wyrok Trybunału Konstytucyjnego z dnia 31 stycznia 2001 r., </w:t>
      </w:r>
      <w:r>
        <w:rPr>
          <w:rFonts w:ascii="Times New Roman"/>
          <w:b w:val="false"/>
          <w:i w:val="false"/>
          <w:color w:val="1b1b1b"/>
          <w:sz w:val="24"/>
          <w:lang w:val="pl-PL"/>
        </w:rPr>
        <w:t>P 4/99</w:t>
      </w:r>
      <w:r>
        <w:rPr>
          <w:rFonts w:ascii="Times New Roman"/>
          <w:b w:val="false"/>
          <w:i w:val="false"/>
          <w:color w:val="000000"/>
          <w:sz w:val="24"/>
          <w:lang w:val="pl-PL"/>
        </w:rPr>
        <w:t xml:space="preserve">, OTK 2001 Nr 1, poz. 5, a także przykładowo wyroki Sądu Najwyższego z dnia 30 października 2002 r., </w:t>
      </w:r>
      <w:r>
        <w:rPr>
          <w:rFonts w:ascii="Times New Roman"/>
          <w:b w:val="false"/>
          <w:i w:val="false"/>
          <w:color w:val="1b1b1b"/>
          <w:sz w:val="24"/>
          <w:lang w:val="pl-PL"/>
        </w:rPr>
        <w:t>V CKN 1456/00</w:t>
      </w:r>
      <w:r>
        <w:rPr>
          <w:rFonts w:ascii="Times New Roman"/>
          <w:b w:val="false"/>
          <w:i w:val="false"/>
          <w:color w:val="000000"/>
          <w:sz w:val="24"/>
          <w:lang w:val="pl-PL"/>
        </w:rPr>
        <w:t xml:space="preserve">, LEX nr 57237; z dnia 16 kwietnia 2004 r., (...) CK 291/03, OSNC 2005 Nr 4, poz. 71; Rzeczpospolita 2005 nr 5, s. 4, z glosą R. Ł.; (...) Studia (...)- (...) Orzecznictwa 2005 Nr 4, poz. 22, z glosą J. X.; z dnia 24 listopada 2015 r., </w:t>
      </w:r>
      <w:r>
        <w:rPr>
          <w:rFonts w:ascii="Times New Roman"/>
          <w:b w:val="false"/>
          <w:i w:val="false"/>
          <w:color w:val="1b1b1b"/>
          <w:sz w:val="24"/>
          <w:lang w:val="pl-PL"/>
        </w:rPr>
        <w:t>II CSK 517/14</w:t>
      </w:r>
      <w:r>
        <w:rPr>
          <w:rFonts w:ascii="Times New Roman"/>
          <w:b w:val="false"/>
          <w:i w:val="false"/>
          <w:color w:val="000000"/>
          <w:sz w:val="24"/>
          <w:lang w:val="pl-PL"/>
        </w:rPr>
        <w:t xml:space="preserve">, LEX nr 1940564; postanowienie Sądu Najwyższego z dnia 22 maja 2019 r., </w:t>
      </w:r>
      <w:r>
        <w:rPr>
          <w:rFonts w:ascii="Times New Roman"/>
          <w:b w:val="false"/>
          <w:i w:val="false"/>
          <w:color w:val="1b1b1b"/>
          <w:sz w:val="24"/>
          <w:lang w:val="pl-PL"/>
        </w:rPr>
        <w:t>II UK 158/18</w:t>
      </w:r>
      <w:r>
        <w:rPr>
          <w:rFonts w:ascii="Times New Roman"/>
          <w:b w:val="false"/>
          <w:i w:val="false"/>
          <w:color w:val="000000"/>
          <w:sz w:val="24"/>
          <w:lang w:val="pl-PL"/>
        </w:rPr>
        <w:t xml:space="preserve">, LEX nr 2671074 oraz po pewnych wahaniach postanowienie z dnia 9 października 2020 r., </w:t>
      </w:r>
      <w:r>
        <w:rPr>
          <w:rFonts w:ascii="Times New Roman"/>
          <w:b w:val="false"/>
          <w:i w:val="false"/>
          <w:color w:val="1b1b1b"/>
          <w:sz w:val="24"/>
          <w:lang w:val="pl-PL"/>
        </w:rPr>
        <w:t>III CZP 95/19</w:t>
      </w:r>
      <w:r>
        <w:rPr>
          <w:rFonts w:ascii="Times New Roman"/>
          <w:b w:val="false"/>
          <w:i w:val="false"/>
          <w:color w:val="000000"/>
          <w:sz w:val="24"/>
          <w:lang w:val="pl-PL"/>
        </w:rPr>
        <w:t>, LEX nr 3066660; w literaturze przykładowo A. I.: Bezprawie legislacyjne, Wyd. II, Warszawa 2021), to jednak w świetle nowszych poglądów prezentowanych w orzecznictwie oraz doktrynie, odnoszących się do problematyki będącej przedmiotem zaskarżenia możliwość odmowy zastosowania przez sąd przepisu ustawy, który uznał za niezgodny z Konstytucją RP, jest dopuszczalna (pod pewnymi warunkami).</w:t>
      </w:r>
    </w:p>
    <w:p>
      <w:pPr>
        <w:spacing w:before="25" w:after="0"/>
        <w:ind w:left="0"/>
        <w:jc w:val="left"/>
        <w:textAlignment w:val="auto"/>
      </w:pPr>
      <w:r>
        <w:rPr>
          <w:rFonts w:ascii="Times New Roman"/>
          <w:b w:val="false"/>
          <w:i w:val="false"/>
          <w:color w:val="000000"/>
          <w:sz w:val="24"/>
          <w:lang w:val="pl-PL"/>
        </w:rPr>
        <w:t>Kompetencję orzekania o niekonstytucyjności oznaczonego przepisu ustawy ma wyłącznie Trybunał Konstytucyjny i tylko on może rozważać usunięcie z systemu prawnego przepisów sprzecznych z ustawą zasadniczą (</w:t>
      </w:r>
      <w:r>
        <w:rPr>
          <w:rFonts w:ascii="Times New Roman"/>
          <w:b w:val="false"/>
          <w:i w:val="false"/>
          <w:color w:val="1b1b1b"/>
          <w:sz w:val="24"/>
          <w:lang w:val="pl-PL"/>
        </w:rPr>
        <w:t>art. 188 pkt 1</w:t>
      </w:r>
      <w:r>
        <w:rPr>
          <w:rFonts w:ascii="Times New Roman"/>
          <w:b w:val="false"/>
          <w:i w:val="false"/>
          <w:color w:val="000000"/>
          <w:sz w:val="24"/>
          <w:lang w:val="pl-PL"/>
        </w:rPr>
        <w:t xml:space="preserve"> Konstytucji RP), jednakże orzekanie o zgodności ustaw z Konstytucją (</w:t>
      </w:r>
      <w:r>
        <w:rPr>
          <w:rFonts w:ascii="Times New Roman"/>
          <w:b w:val="false"/>
          <w:i w:val="false"/>
          <w:color w:val="1b1b1b"/>
          <w:sz w:val="24"/>
          <w:lang w:val="pl-PL"/>
        </w:rPr>
        <w:t>art. 188 pkt 1</w:t>
      </w:r>
      <w:r>
        <w:rPr>
          <w:rFonts w:ascii="Times New Roman"/>
          <w:b w:val="false"/>
          <w:i w:val="false"/>
          <w:color w:val="000000"/>
          <w:sz w:val="24"/>
          <w:lang w:val="pl-PL"/>
        </w:rPr>
        <w:t xml:space="preserve"> ustawy zasadniczej), co niewątpliwie należy do wyłącznej kompetencji Trybunału Konstytucyjnego, nie jest tożsame z oceną konstytucyjności przepisu mającego zastosowanie w konkretnej sprawie rozstrzyganej przez sąd. Sąd jest obowiązany do oceny konstytucyjności przepisu ustawy w ramach ustalania, który przepis obowiązującego prawa będzie zastosowany do rozstrzygnięcia danego stanu faktycznego w indywidualnej sprawie. Odmowa zastosowania przepisu ustawy uznanego przez sąd za sprzeczny z Konstytucją nie narusza zatem kompetencji Trybunału Konstytucyjnego i nie ma bezpośredniego związku z tymi kompetencjami.</w:t>
      </w:r>
    </w:p>
    <w:p>
      <w:pPr>
        <w:spacing w:before="25" w:after="0"/>
        <w:ind w:left="0"/>
        <w:jc w:val="left"/>
        <w:textAlignment w:val="auto"/>
      </w:pPr>
      <w:r>
        <w:rPr>
          <w:rFonts w:ascii="Times New Roman"/>
          <w:b w:val="false"/>
          <w:i w:val="false"/>
          <w:color w:val="000000"/>
          <w:sz w:val="24"/>
          <w:lang w:val="pl-PL"/>
        </w:rPr>
        <w:t>Odmowa zastosowania przepisu ustawy może jednak nastąpić wyłącznie w wypadku, gdy sąd rozpoznający sprawę nie ma wątpliwości co do niezgodności danego przepisu z Konstytucją RP, a sprzeczność ma charakter oczywisty, inaczej mówiąc, gdy zachodzi sytuacja oczywistej niekonstytucyjności przepisu.</w:t>
      </w:r>
    </w:p>
    <w:p>
      <w:pPr>
        <w:spacing w:before="25" w:after="0"/>
        <w:ind w:left="0"/>
        <w:jc w:val="left"/>
        <w:textAlignment w:val="auto"/>
      </w:pPr>
      <w:r>
        <w:rPr>
          <w:rFonts w:ascii="Times New Roman"/>
          <w:b w:val="false"/>
          <w:i w:val="false"/>
          <w:color w:val="000000"/>
          <w:sz w:val="24"/>
          <w:lang w:val="pl-PL"/>
        </w:rPr>
        <w:t xml:space="preserve">Sytuacja taka może zachodzić zwłaszcza wówczas, gdy porównywane przepisy ustawy i Konstytucji RP dotyczą regulacji tej samej materii i są ze sobą sprzeczne, a norma konstytucyjna jest skonkretyzowana w stopniu pozwalającym na jej samoistne zastosowanie, gdy ustawodawca wprowadził regulację identyczną, jak norma objęta już wyrokiem Trybunału Konstytucyjnego, gdy Trybunał stwierdził niekonstytucyjność określonej normy prawnej zamieszczonej w przepisie tożsamym, który nie podlegał rozpoznaniu przed Trybunałem, gdy sposób rozumienia przepisu ustawy wynika z utrwalonego orzecznictwa Trybunału Konstytucyjnego (por. postanowienie Sądu Najwyższego z dnia 21 czerwca 2023 r., (...) 268/22, wyroki Sądu Najwyższego: z dnia 8 stycznia 2009 r., (...) CSK 482/08; z dnia 17 marca 2016 r., </w:t>
      </w:r>
      <w:r>
        <w:rPr>
          <w:rFonts w:ascii="Times New Roman"/>
          <w:b w:val="false"/>
          <w:i w:val="false"/>
          <w:color w:val="1b1b1b"/>
          <w:sz w:val="24"/>
          <w:lang w:val="pl-PL"/>
        </w:rPr>
        <w:t>V CSK 377/15</w:t>
      </w:r>
      <w:r>
        <w:rPr>
          <w:rFonts w:ascii="Times New Roman"/>
          <w:b w:val="false"/>
          <w:i w:val="false"/>
          <w:color w:val="000000"/>
          <w:sz w:val="24"/>
          <w:lang w:val="pl-PL"/>
        </w:rPr>
        <w:t>). Jeśli zatem sąd dostrzega ewidentną i oczywistą sprzeczność ustawy z Konstytucją RP, jego obowiązkiem jest odmowa zastosowania wadliwego przepisu na rzecz bezpośredniego stosowania ustawy zasadniczej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 RP).</w:t>
      </w:r>
    </w:p>
    <w:p>
      <w:pPr>
        <w:spacing w:before="25" w:after="0"/>
        <w:ind w:left="0"/>
        <w:jc w:val="left"/>
        <w:textAlignment w:val="auto"/>
      </w:pPr>
      <w:r>
        <w:rPr>
          <w:rFonts w:ascii="Times New Roman"/>
          <w:b w:val="false"/>
          <w:i w:val="false"/>
          <w:color w:val="000000"/>
          <w:sz w:val="24"/>
          <w:lang w:val="pl-PL"/>
        </w:rPr>
        <w:t xml:space="preserve">W niniejszej sprawie Sąd I instancji dokonał analizy treści przywołanego już </w:t>
      </w:r>
      <w:r>
        <w:rPr>
          <w:rFonts w:ascii="Times New Roman"/>
          <w:b w:val="false"/>
          <w:i w:val="false"/>
          <w:color w:val="1b1b1b"/>
          <w:sz w:val="24"/>
          <w:lang w:val="pl-PL"/>
        </w:rPr>
        <w:t>art. 41</w:t>
      </w:r>
      <w:r>
        <w:rPr>
          <w:rFonts w:ascii="Times New Roman"/>
          <w:b w:val="false"/>
          <w:i w:val="false"/>
          <w:color w:val="000000"/>
          <w:sz w:val="24"/>
          <w:lang w:val="pl-PL"/>
        </w:rPr>
        <w:t xml:space="preserve"> ustawy z dnia 1 grudnia 2022 r. o szczególnych rozwiązaniach służących realizacji ustawy budżetowej na rok 2023 (Dz. U. z 2022 r. poz. 2666) i mając powyższe na uwadze, w ramach rozproszonej kontroli konstytucyjnej samodzielnie ocenił, że przepis powyższy należy uznać za sprzeczny z </w:t>
      </w:r>
      <w:r>
        <w:rPr>
          <w:rFonts w:ascii="Times New Roman"/>
          <w:b w:val="false"/>
          <w:i w:val="false"/>
          <w:color w:val="1b1b1b"/>
          <w:sz w:val="24"/>
          <w:lang w:val="pl-PL"/>
        </w:rPr>
        <w:t>art. 32 ust. 1</w:t>
      </w:r>
      <w:r>
        <w:rPr>
          <w:rFonts w:ascii="Times New Roman"/>
          <w:b w:val="false"/>
          <w:i w:val="false"/>
          <w:color w:val="000000"/>
          <w:sz w:val="24"/>
          <w:lang w:val="pl-PL"/>
        </w:rPr>
        <w:t xml:space="preserve"> Konstytucji.</w:t>
      </w:r>
    </w:p>
    <w:p>
      <w:pPr>
        <w:spacing w:before="25" w:after="0"/>
        <w:ind w:left="0"/>
        <w:jc w:val="left"/>
        <w:textAlignment w:val="auto"/>
      </w:pPr>
      <w:r>
        <w:rPr>
          <w:rFonts w:ascii="Times New Roman"/>
          <w:b w:val="false"/>
          <w:i w:val="false"/>
          <w:color w:val="000000"/>
          <w:sz w:val="24"/>
          <w:lang w:val="pl-PL"/>
        </w:rPr>
        <w:t xml:space="preserve">W tym kontekście wskazać należy, że Sąd Rejonowy trafnie uznał powołując się na orzecznictwo Trybunału Konstytucyjnego, że odmienne uregulowanie sytuacji prawnej adresatów norm wyróżnionych ze względu na tę samą cechę istotną stanowi odstępstwo od zasady równości (por. orzeczenie z 9 marca 1988 r., sygn. </w:t>
      </w:r>
      <w:r>
        <w:rPr>
          <w:rFonts w:ascii="Times New Roman"/>
          <w:b w:val="false"/>
          <w:i w:val="false"/>
          <w:color w:val="1b1b1b"/>
          <w:sz w:val="24"/>
          <w:lang w:val="pl-PL"/>
        </w:rPr>
        <w:t>U 7/87</w:t>
      </w:r>
      <w:r>
        <w:rPr>
          <w:rFonts w:ascii="Times New Roman"/>
          <w:b w:val="false"/>
          <w:i w:val="false"/>
          <w:color w:val="000000"/>
          <w:sz w:val="24"/>
          <w:lang w:val="pl-PL"/>
        </w:rPr>
        <w:t xml:space="preserve">, OTK w 1988 r., poz. 1 oraz wyroki z: 24 lutego 1999 r., sygn. </w:t>
      </w:r>
      <w:r>
        <w:rPr>
          <w:rFonts w:ascii="Times New Roman"/>
          <w:b w:val="false"/>
          <w:i w:val="false"/>
          <w:color w:val="1b1b1b"/>
          <w:sz w:val="24"/>
          <w:lang w:val="pl-PL"/>
        </w:rPr>
        <w:t>SK 4/98</w:t>
      </w:r>
      <w:r>
        <w:rPr>
          <w:rFonts w:ascii="Times New Roman"/>
          <w:b w:val="false"/>
          <w:i w:val="false"/>
          <w:color w:val="000000"/>
          <w:sz w:val="24"/>
          <w:lang w:val="pl-PL"/>
        </w:rPr>
        <w:t xml:space="preserve">, OTK ZU nr 2/1999, poz. 24; 9 maja 2005 r., sygn. </w:t>
      </w:r>
      <w:r>
        <w:rPr>
          <w:rFonts w:ascii="Times New Roman"/>
          <w:b w:val="false"/>
          <w:i w:val="false"/>
          <w:color w:val="1b1b1b"/>
          <w:sz w:val="24"/>
          <w:lang w:val="pl-PL"/>
        </w:rPr>
        <w:t>SK 14/04</w:t>
      </w:r>
      <w:r>
        <w:rPr>
          <w:rFonts w:ascii="Times New Roman"/>
          <w:b w:val="false"/>
          <w:i w:val="false"/>
          <w:color w:val="000000"/>
          <w:sz w:val="24"/>
          <w:lang w:val="pl-PL"/>
        </w:rPr>
        <w:t>, OTK ZU nr 5/A/2005, poz. 47).</w:t>
      </w:r>
    </w:p>
    <w:p>
      <w:pPr>
        <w:spacing w:before="25" w:after="0"/>
        <w:ind w:left="0"/>
        <w:jc w:val="left"/>
        <w:textAlignment w:val="auto"/>
      </w:pPr>
      <w:r>
        <w:rPr>
          <w:rFonts w:ascii="Times New Roman"/>
          <w:b w:val="false"/>
          <w:i w:val="false"/>
          <w:color w:val="000000"/>
          <w:sz w:val="24"/>
          <w:lang w:val="pl-PL"/>
        </w:rPr>
        <w:t xml:space="preserve">Sąd Rejonowy prawidłowo wskazał, iż wprowadzenie przepisu art. </w:t>
      </w:r>
      <w:r>
        <w:rPr>
          <w:rFonts w:ascii="Times New Roman"/>
          <w:b w:val="false"/>
          <w:i w:val="false"/>
          <w:color w:val="1b1b1b"/>
          <w:sz w:val="24"/>
          <w:lang w:val="pl-PL"/>
        </w:rPr>
        <w:t>art. 41 ust. 1-3</w:t>
      </w:r>
      <w:r>
        <w:rPr>
          <w:rFonts w:ascii="Times New Roman"/>
          <w:b w:val="false"/>
          <w:i w:val="false"/>
          <w:color w:val="000000"/>
          <w:sz w:val="24"/>
          <w:lang w:val="pl-PL"/>
        </w:rPr>
        <w:t xml:space="preserve"> ustawy okołobudżetowej na 2023 rok doprowadziło do nieuzasadnionego pokrzywdzenia funkcjonariuszy, którzy zaprzestali pełnienia służby przed 1 marca 2023 r., mimo że przez pierwsze dwa miesiące 2023 r. świadczyli oni służbę jak funkcjonariusze, którzy służbę pełnili także po 1 marca 2023 r. Wprowadzając ten przepis prawodawca odszedł zatem od ukształtowanych i jednolitych zasad ustalania płac konkretnej grupy zawodowej (między innymi funkcjonariuszy Służby Więziennej), dokonując nagle rozróżnienia i podziału wśród tej grupy, co ostatecznie spowodowało wykluczenie części z nich podczas podwyższenia uposażeń dla tej grupy.</w:t>
      </w:r>
    </w:p>
    <w:p>
      <w:pPr>
        <w:spacing w:before="25" w:after="0"/>
        <w:ind w:left="0"/>
        <w:jc w:val="left"/>
        <w:textAlignment w:val="auto"/>
      </w:pPr>
      <w:r>
        <w:rPr>
          <w:rFonts w:ascii="Times New Roman"/>
          <w:b w:val="false"/>
          <w:i w:val="false"/>
          <w:color w:val="000000"/>
          <w:sz w:val="24"/>
          <w:lang w:val="pl-PL"/>
        </w:rPr>
        <w:t xml:space="preserve">Prawidłowo zaakcentował Sąd Rejonowy, że brak jest uzasadnienia dla wybiórczego traktowania funkcjonariuszy Służby Więziennej w porównaniu do przedstawicieli sfery budżetowej, w stosunku do których ma zastosowanie </w:t>
      </w:r>
      <w:r>
        <w:rPr>
          <w:rFonts w:ascii="Times New Roman"/>
          <w:b w:val="false"/>
          <w:i w:val="false"/>
          <w:color w:val="1b1b1b"/>
          <w:sz w:val="24"/>
          <w:lang w:val="pl-PL"/>
        </w:rPr>
        <w:t>art. 8 ust. 1</w:t>
      </w:r>
      <w:r>
        <w:rPr>
          <w:rFonts w:ascii="Times New Roman"/>
          <w:b w:val="false"/>
          <w:i w:val="false"/>
          <w:color w:val="000000"/>
          <w:sz w:val="24"/>
          <w:lang w:val="pl-PL"/>
        </w:rPr>
        <w:t xml:space="preserve"> ustawy o kształtowaniu wynagrodzeń w państwowej sferze budżetowej oraz o zmianie niektórych ustaw.</w:t>
      </w:r>
      <w:r>
        <w:rPr>
          <w:rFonts w:ascii="Times New Roman"/>
          <w:b w:val="false"/>
          <w:i w:val="false"/>
          <w:color w:val="000000"/>
          <w:sz w:val="24"/>
          <w:lang w:val="pl-PL"/>
        </w:rPr>
        <w:t xml:space="preserve"> </w:t>
      </w:r>
      <w:r>
        <w:rPr>
          <w:rFonts w:ascii="Times New Roman"/>
          <w:b w:val="false"/>
          <w:i w:val="false"/>
          <w:color w:val="000000"/>
          <w:sz w:val="24"/>
          <w:lang w:val="pl-PL"/>
        </w:rPr>
        <w:t>W uzasadnieniu do ustawy okołobudżetowej wskazano, że mechanizm ten ma na celu zachęcenie do pozostania w służbie.</w:t>
      </w:r>
      <w:r>
        <w:rPr>
          <w:rFonts w:ascii="Times New Roman"/>
          <w:b w:val="false"/>
          <w:i w:val="false"/>
          <w:color w:val="000000"/>
          <w:sz w:val="24"/>
          <w:lang w:val="pl-PL"/>
        </w:rPr>
        <w:t xml:space="preserve"> </w:t>
      </w:r>
      <w:r>
        <w:rPr>
          <w:rFonts w:ascii="Times New Roman"/>
          <w:b w:val="false"/>
          <w:i w:val="false"/>
          <w:color w:val="000000"/>
          <w:sz w:val="24"/>
          <w:lang w:val="pl-PL"/>
        </w:rPr>
        <w:t>Wynika z tego, że jest on elementem kształtowania polityki kadrowej, a nie stanowi reakcji na żadne wyjątkowe okoliczności, które uzasadniałyby pozbawienie tej grupy prawa do waloryzacji.</w:t>
      </w:r>
      <w:r>
        <w:rPr>
          <w:rFonts w:ascii="Times New Roman"/>
          <w:b w:val="false"/>
          <w:i w:val="false"/>
          <w:color w:val="000000"/>
          <w:sz w:val="24"/>
          <w:lang w:val="pl-PL"/>
        </w:rPr>
        <w:t xml:space="preserve"> </w:t>
      </w:r>
      <w:r>
        <w:rPr>
          <w:rFonts w:ascii="Times New Roman"/>
          <w:b w:val="false"/>
          <w:i w:val="false"/>
          <w:color w:val="000000"/>
          <w:sz w:val="24"/>
          <w:lang w:val="pl-PL"/>
        </w:rPr>
        <w:t>Ustawodawca nie przedstawił w uzasadnieniu projektu ustawy okołobudżetowej przekonującego uzasadnienia zasadności zastosowania sposobu obliczenia waloryzacji uposażeń funkcjonariuszy Służby Więziennej.</w:t>
      </w:r>
      <w:r>
        <w:rPr>
          <w:rFonts w:ascii="Times New Roman"/>
          <w:b w:val="false"/>
          <w:i w:val="false"/>
          <w:color w:val="000000"/>
          <w:sz w:val="24"/>
          <w:lang w:val="pl-PL"/>
        </w:rPr>
        <w:t xml:space="preserve"> </w:t>
      </w:r>
      <w:r>
        <w:rPr>
          <w:rFonts w:ascii="Times New Roman"/>
          <w:b w:val="false"/>
          <w:i w:val="false"/>
          <w:color w:val="000000"/>
          <w:sz w:val="24"/>
          <w:lang w:val="pl-PL"/>
        </w:rPr>
        <w:t>O ile nie można odmówić możliwości stosowania różnego rodzaju zachęt dla pozostawania funkcjonariuszy w czynnej służbie, jednakże nie może to być poczynione w sposób tak dalece różnicujący sytuację funkcjonariuszy w jednym roku kalendarzowym.</w:t>
      </w:r>
      <w:r>
        <w:rPr>
          <w:rFonts w:ascii="Times New Roman"/>
          <w:b w:val="false"/>
          <w:i w:val="false"/>
          <w:color w:val="000000"/>
          <w:sz w:val="24"/>
          <w:lang w:val="pl-PL"/>
        </w:rPr>
        <w:t xml:space="preserve"> </w:t>
      </w:r>
      <w:r>
        <w:rPr>
          <w:rFonts w:ascii="Times New Roman"/>
          <w:b w:val="false"/>
          <w:i w:val="false"/>
          <w:color w:val="000000"/>
          <w:sz w:val="24"/>
          <w:lang w:val="pl-PL"/>
        </w:rPr>
        <w:t>Ponadto sposób ustalenia podwyżki uposażeń funkcjonariuszy był odmienny, bez szczególnego uzasadnienia, od sytuacji innych przedstawicieli sfery budżetowej, wobec których nie zostały zastosowane tego rodzaju zachęty dla pozostawania w pracy.</w:t>
      </w:r>
      <w:r>
        <w:rPr>
          <w:rFonts w:ascii="Times New Roman"/>
          <w:b w:val="false"/>
          <w:i w:val="false"/>
          <w:color w:val="000000"/>
          <w:sz w:val="24"/>
          <w:lang w:val="pl-PL"/>
        </w:rPr>
        <w:t xml:space="preserve"> </w:t>
      </w:r>
      <w:r>
        <w:rPr>
          <w:rFonts w:ascii="Times New Roman"/>
          <w:b w:val="false"/>
          <w:i w:val="false"/>
          <w:color w:val="000000"/>
          <w:sz w:val="24"/>
          <w:lang w:val="pl-PL"/>
        </w:rPr>
        <w:t xml:space="preserve">Tym samym ukształtowanie waloryzacji funkcjonariuszy w sposób odrębny od innych przedstawicieli sfery budżetowej, stanowi naruszenie zasady równego traktowania podmiotów podobnych oraz narusza zakaz dyskryminacji, o którym stanowi </w:t>
      </w:r>
      <w:r>
        <w:rPr>
          <w:rFonts w:ascii="Times New Roman"/>
          <w:b w:val="false"/>
          <w:i w:val="false"/>
          <w:color w:val="1b1b1b"/>
          <w:sz w:val="24"/>
          <w:lang w:val="pl-PL"/>
        </w:rPr>
        <w:t>art. 32 ust. 2</w:t>
      </w:r>
      <w:r>
        <w:rPr>
          <w:rFonts w:ascii="Times New Roman"/>
          <w:b w:val="false"/>
          <w:i w:val="false"/>
          <w:color w:val="000000"/>
          <w:sz w:val="24"/>
          <w:lang w:val="pl-PL"/>
        </w:rPr>
        <w:t xml:space="preserve"> Konstytucji RP.</w:t>
      </w:r>
    </w:p>
    <w:p>
      <w:pPr>
        <w:spacing w:before="25" w:after="0"/>
        <w:ind w:left="0"/>
        <w:jc w:val="left"/>
        <w:textAlignment w:val="auto"/>
      </w:pPr>
      <w:r>
        <w:rPr>
          <w:rFonts w:ascii="Times New Roman"/>
          <w:b w:val="false"/>
          <w:i w:val="false"/>
          <w:color w:val="000000"/>
          <w:sz w:val="24"/>
          <w:lang w:val="pl-PL"/>
        </w:rPr>
        <w:t>Sąd Odwoławczy podziela też stanowisko, że oceniając zgodność z Konstytucją art. 41 ustawy okołobudżetowej na 2023 rok, zauważyć należy krytyczną ocenę tego przepisu wyrażoną przez Senat w uchwale z 30 listopada 2022 r. (druk nr 861), wykreślając go z projektu.</w:t>
      </w:r>
      <w:r>
        <w:rPr>
          <w:rFonts w:ascii="Times New Roman"/>
          <w:b w:val="false"/>
          <w:i w:val="false"/>
          <w:color w:val="000000"/>
          <w:sz w:val="24"/>
          <w:lang w:val="pl-PL"/>
        </w:rPr>
        <w:t xml:space="preserve"> </w:t>
      </w:r>
      <w:r>
        <w:rPr>
          <w:rFonts w:ascii="Times New Roman"/>
          <w:b w:val="false"/>
          <w:i w:val="false"/>
          <w:color w:val="000000"/>
          <w:sz w:val="24"/>
          <w:lang w:val="pl-PL"/>
        </w:rPr>
        <w:t>Zdaniem Senatu sposób ustalania należnego żołnierzom i funkcjonariuszom w 2023 r. uposażenia odbiegał od sposobu dotyczącego ustalania wysokości wynagrodzenia zasadniczego pozostałych grup pracowników państwowej sfery budżetowej, również opartego o kwotę bazową, określoną w ustawie budżetowej na dany rok kalendarzowy.</w:t>
      </w:r>
      <w:r>
        <w:rPr>
          <w:rFonts w:ascii="Times New Roman"/>
          <w:b w:val="false"/>
          <w:i w:val="false"/>
          <w:color w:val="000000"/>
          <w:sz w:val="24"/>
          <w:lang w:val="pl-PL"/>
        </w:rPr>
        <w:t xml:space="preserve"> </w:t>
      </w:r>
      <w:r>
        <w:rPr>
          <w:rFonts w:ascii="Times New Roman"/>
          <w:b w:val="false"/>
          <w:i w:val="false"/>
          <w:color w:val="000000"/>
          <w:sz w:val="24"/>
          <w:lang w:val="pl-PL"/>
        </w:rPr>
        <w:t>W ocenie Senatu, regulacja ta była niezgodna z Konstytucją, w tym z określoną w art. 2 zasadą demokratycznego państwa prawa i wywodzoną z niej zasadą sprawiedliwości społecznej i zasadą określoności przepisów prawa i wynikającą z art. 7 zasadą legalizmu, a także z określonymi w art. 32 zasadą równości wobec prawa i zakazem dyskryminacji.</w:t>
      </w:r>
    </w:p>
    <w:p>
      <w:pPr>
        <w:spacing w:before="25" w:after="0"/>
        <w:ind w:left="0"/>
        <w:jc w:val="left"/>
        <w:textAlignment w:val="auto"/>
      </w:pPr>
      <w:r>
        <w:rPr>
          <w:rFonts w:ascii="Times New Roman"/>
          <w:b w:val="false"/>
          <w:i w:val="false"/>
          <w:color w:val="000000"/>
          <w:sz w:val="24"/>
          <w:lang w:val="pl-PL"/>
        </w:rPr>
        <w:t>W świetle powyższych uwag za niezasadne uznać należy zarzut apelacji. Zdaniem Sądu Odwoławczego Sąd Rejonowy prawidłowo przyjął, że powód został nierówno potraktowany.</w:t>
      </w:r>
      <w:r>
        <w:rPr>
          <w:rFonts w:ascii="Times New Roman"/>
          <w:b w:val="false"/>
          <w:i w:val="false"/>
          <w:color w:val="000000"/>
          <w:sz w:val="24"/>
          <w:lang w:val="pl-PL"/>
        </w:rPr>
        <w:t xml:space="preserve"> </w:t>
      </w:r>
      <w:r>
        <w:rPr>
          <w:rFonts w:ascii="Times New Roman"/>
          <w:b w:val="false"/>
          <w:i w:val="false"/>
          <w:color w:val="000000"/>
          <w:sz w:val="24"/>
          <w:lang w:val="pl-PL"/>
        </w:rPr>
        <w:t>Pomimo, że pozwany musiał realizować przepisy prawa, to jednak doszło do dyskryminacji powoda, bo inni funkcjonariusze za taką samą służbę w styczniu i lutym 2023 r. otrzymali wynagrodzenie z wyższej podstawy, co narusza standardy konstytucyjne.</w:t>
      </w:r>
      <w:r>
        <w:rPr>
          <w:rFonts w:ascii="Times New Roman"/>
          <w:b w:val="false"/>
          <w:i w:val="false"/>
          <w:color w:val="000000"/>
          <w:sz w:val="24"/>
          <w:lang w:val="pl-PL"/>
        </w:rPr>
        <w:t xml:space="preserve"> </w:t>
      </w:r>
      <w:r>
        <w:rPr>
          <w:rFonts w:ascii="Times New Roman"/>
          <w:b w:val="false"/>
          <w:i w:val="false"/>
          <w:color w:val="000000"/>
          <w:sz w:val="24"/>
          <w:lang w:val="pl-PL"/>
        </w:rPr>
        <w:t>Sąd II instancji w pełni podziela przedstawioną w uzasadnieniu zaskarżonego wyroku argumentację w tym zakresie.</w:t>
      </w:r>
    </w:p>
    <w:p>
      <w:pPr>
        <w:spacing w:before="25" w:after="0"/>
        <w:ind w:left="0"/>
        <w:jc w:val="left"/>
        <w:textAlignment w:val="auto"/>
      </w:pPr>
      <w:r>
        <w:rPr>
          <w:rFonts w:ascii="Times New Roman"/>
          <w:b w:val="false"/>
          <w:i w:val="false"/>
          <w:color w:val="000000"/>
          <w:sz w:val="24"/>
          <w:lang w:val="pl-PL"/>
        </w:rPr>
        <w:t xml:space="preserve">W świetle powyższych uwag zdaniem Sądu Okręgowego trafna okazała się argumentacja Sądu I instancji wyrażona w uzasadnieniu zaskarżonego wyroku z 26 listopada 2025 r., że zastosowanie przez pozwanego przepisów </w:t>
      </w:r>
      <w:r>
        <w:rPr>
          <w:rFonts w:ascii="Times New Roman"/>
          <w:b w:val="false"/>
          <w:i w:val="false"/>
          <w:color w:val="1b1b1b"/>
          <w:sz w:val="24"/>
          <w:lang w:val="pl-PL"/>
        </w:rPr>
        <w:t>art. 41 ust. 1-3</w:t>
      </w:r>
      <w:r>
        <w:rPr>
          <w:rFonts w:ascii="Times New Roman"/>
          <w:b w:val="false"/>
          <w:i w:val="false"/>
          <w:color w:val="000000"/>
          <w:sz w:val="24"/>
          <w:lang w:val="pl-PL"/>
        </w:rPr>
        <w:t xml:space="preserve"> ustawy z 1 grudnia 2022 r. o szczególnych rozwiązaniach służących realizacji ustawy budżetowej doprowadziło do sytuacji, że powód uzyskał niższe niż należne uposażenie za służbę pełnioną w styczniu i lutym 2023 r., a w konsekwencji doszło do dyskryminacji powoda, albowiem w porównaniu do funkcjonariuszy, którzy pozostali w służbie po 1 marca 2023 r., otrzymał on niższe uposażenie za służbę w tym samym, co oni okresie - w styczniu i lutym 2023 r. Powyższe zasadnie skutkowało uwzględnieniem powództwa w przeważającej części i jego oddaleniem jedynie w niewielkim zakresie, tj. co do różnicy wynikającej z zaokrąglenia żądanej pozwem kwoty do wskazanej w nim wartości przedmiotu sporu.</w:t>
      </w:r>
    </w:p>
    <w:p>
      <w:pPr>
        <w:spacing w:before="25" w:after="0"/>
        <w:ind w:left="0"/>
        <w:jc w:val="left"/>
        <w:textAlignment w:val="auto"/>
      </w:pPr>
      <w:r>
        <w:rPr>
          <w:rFonts w:ascii="Times New Roman"/>
          <w:b w:val="false"/>
          <w:i w:val="false"/>
          <w:color w:val="000000"/>
          <w:sz w:val="24"/>
          <w:lang w:val="pl-PL"/>
        </w:rPr>
        <w:t xml:space="preserve">Reasumując, brak jest podstaw do kwestionowania poprawności rozstrzygnięcia Sądu Rejonowego. Mając powyższe na uwadze Sąd Okręgowy na podstawie </w:t>
      </w:r>
      <w:r>
        <w:rPr>
          <w:rFonts w:ascii="Times New Roman"/>
          <w:b w:val="false"/>
          <w:i w:val="false"/>
          <w:color w:val="1b1b1b"/>
          <w:sz w:val="24"/>
          <w:lang w:val="pl-PL"/>
        </w:rPr>
        <w:t>art. 385</w:t>
      </w:r>
      <w:r>
        <w:rPr>
          <w:rFonts w:ascii="Times New Roman"/>
          <w:b w:val="false"/>
          <w:i w:val="false"/>
          <w:color w:val="000000"/>
          <w:sz w:val="24"/>
          <w:lang w:val="pl-PL"/>
        </w:rPr>
        <w:t xml:space="preserve"> k.p.c. oddalił apelację jako bezzasadną, o czym orzekł jak w pkt I wyroku.</w:t>
      </w:r>
    </w:p>
    <w:p>
      <w:pPr>
        <w:spacing w:before="25" w:after="0"/>
        <w:ind w:left="0"/>
        <w:jc w:val="left"/>
        <w:textAlignment w:val="auto"/>
      </w:pPr>
      <w:r>
        <w:rPr>
          <w:rFonts w:ascii="Times New Roman"/>
          <w:b w:val="false"/>
          <w:i w:val="false"/>
          <w:color w:val="000000"/>
          <w:sz w:val="24"/>
          <w:lang w:val="pl-PL"/>
        </w:rPr>
        <w:t xml:space="preserve">O kosztach postępowania apelacyjnego orzeczono w punkcie II sentencji wyroku w oparciu o treść </w:t>
      </w:r>
      <w:r>
        <w:rPr>
          <w:rFonts w:ascii="Times New Roman"/>
          <w:b w:val="false"/>
          <w:i w:val="false"/>
          <w:color w:val="1b1b1b"/>
          <w:sz w:val="24"/>
          <w:lang w:val="pl-PL"/>
        </w:rPr>
        <w:t>art. 98 § 1</w:t>
      </w:r>
      <w:r>
        <w:rPr>
          <w:rFonts w:ascii="Times New Roman"/>
          <w:b w:val="false"/>
          <w:i w:val="false"/>
          <w:color w:val="000000"/>
          <w:sz w:val="24"/>
          <w:lang w:val="pl-PL"/>
        </w:rPr>
        <w:t xml:space="preserve"> i </w:t>
      </w:r>
      <w:r>
        <w:rPr>
          <w:rFonts w:ascii="Times New Roman"/>
          <w:b w:val="false"/>
          <w:i w:val="false"/>
          <w:color w:val="1b1b1b"/>
          <w:sz w:val="24"/>
          <w:lang w:val="pl-PL"/>
        </w:rPr>
        <w:t>§ 3</w:t>
      </w:r>
      <w:r>
        <w:rPr>
          <w:rFonts w:ascii="Times New Roman"/>
          <w:b w:val="false"/>
          <w:i w:val="false"/>
          <w:color w:val="000000"/>
          <w:sz w:val="24"/>
          <w:lang w:val="pl-PL"/>
        </w:rPr>
        <w:t xml:space="preserve"> k.p.c. w zw. z </w:t>
      </w:r>
      <w:r>
        <w:rPr>
          <w:rFonts w:ascii="Times New Roman"/>
          <w:b w:val="false"/>
          <w:i w:val="false"/>
          <w:color w:val="1b1b1b"/>
          <w:sz w:val="24"/>
          <w:lang w:val="pl-PL"/>
        </w:rPr>
        <w:t>art. 99</w:t>
      </w:r>
      <w:r>
        <w:rPr>
          <w:rFonts w:ascii="Times New Roman"/>
          <w:b w:val="false"/>
          <w:i w:val="false"/>
          <w:color w:val="000000"/>
          <w:sz w:val="24"/>
          <w:lang w:val="pl-PL"/>
        </w:rPr>
        <w:t xml:space="preserve"> k.p.c. w zw. z </w:t>
      </w:r>
      <w:r>
        <w:rPr>
          <w:rFonts w:ascii="Times New Roman"/>
          <w:b w:val="false"/>
          <w:i w:val="false"/>
          <w:color w:val="1b1b1b"/>
          <w:sz w:val="24"/>
          <w:lang w:val="pl-PL"/>
        </w:rPr>
        <w:t>art. 98 § 11</w:t>
      </w:r>
      <w:r>
        <w:rPr>
          <w:rFonts w:ascii="Times New Roman"/>
          <w:b w:val="false"/>
          <w:i w:val="false"/>
          <w:color w:val="000000"/>
          <w:sz w:val="24"/>
          <w:lang w:val="pl-PL"/>
        </w:rPr>
        <w:t xml:space="preserve"> k.p.c. w zw. z § 10 ust. 1 punkt 1 w zw. z </w:t>
      </w:r>
      <w:r>
        <w:rPr>
          <w:rFonts w:ascii="Times New Roman"/>
          <w:b w:val="false"/>
          <w:i w:val="false"/>
          <w:color w:val="1b1b1b"/>
          <w:sz w:val="24"/>
          <w:lang w:val="pl-PL"/>
        </w:rPr>
        <w:t>§ 9 ust. 1 pkt 2</w:t>
      </w:r>
      <w:r>
        <w:rPr>
          <w:rFonts w:ascii="Times New Roman"/>
          <w:b w:val="false"/>
          <w:i w:val="false"/>
          <w:color w:val="000000"/>
          <w:sz w:val="24"/>
          <w:lang w:val="pl-PL"/>
        </w:rPr>
        <w:t xml:space="preserve"> rozporządzenia Ministra Sprawiedliwości z dnia 22 października 2015 r. w sprawie opłat za czynności radców prawnych (t.j. Dz. U. z 2018 r. poz. 265) zasądzając od strony pozwanej na rzecz powoda kwotę 120,00 zł wraz z ustawowymi odsetkami za opóźnienie w spełnieniu świadczenia za czas po upływie tygodnia od dnia jego doręczenia wyroku do dnia zapłaty tytułem zwrotu kosztów procesu w instancji odwoławczej.</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imes New Roman" w:hAnsi="Times New Roman" w:eastAsia="Times New Roman" w:cs="Times New Roman" w:asciiTheme="minorHAnsi" w:hAnsiTheme="minorHAnsi" w:eastAsiaTheme="minorHAnsi" w:cstheme="minorBidi"/>
        <w:sz w:val="24"/>
        <w:szCs w:val="22"/>
        <w:lang w:val="pl-PL"/>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rPr>
      <w:rFonts w:ascii="Times New Roman" w:hAnsi="Times New Roman" w:eastAsia="Times New Roman" w:cs="Times New Roman"/>
      <w:sz w:val="24"/>
      <w:lang w:val="pl-PL"/>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HeaderStyle">
    <w:name w:val="HeaderStyle"/>
    <w:pPr>
      <w:spacing w:line="240" w:lineRule="auto"/>
      <w:jc w:val="center"/>
    </w:pPr>
    <w:rPr>
      <w:rFonts w:ascii="Times New Roman" w:hAnsi="Times New Roman" w:eastAsia="Times New Roman" w:cs="Times New Roman"/>
      <w:b/>
      <w:color w:val="000000" w:themeColor="text1"/>
      <w:sz w:val="24"/>
    </w:rPr>
  </w:style>
  <w:style w:type="paragraph" w:styleId="TitleStyle">
    <w:name w:val="TitleStyle"/>
    <w:pPr>
      <w:spacing w:line="240" w:lineRule="auto"/>
      <w:jc w:val="left"/>
    </w:pPr>
    <w:rPr>
      <w:rFonts w:ascii="Times New Roman" w:hAnsi="Times New Roman" w:eastAsia="Times New Roman" w:cs="Times New Roman"/>
      <w:b/>
      <w:color w:val="000000" w:themeColor="text1"/>
      <w:sz w:val="24"/>
    </w:rPr>
  </w:style>
  <w:style w:type="paragraph" w:styleId="TitleCenterStyle">
    <w:name w:val="TitleCenterStyle"/>
    <w:pPr>
      <w:spacing w:line="240" w:lineRule="auto"/>
      <w:jc w:val="center"/>
    </w:pPr>
    <w:rPr>
      <w:rFonts w:ascii="Times New Roman" w:hAnsi="Times New Roman" w:eastAsia="Times New Roman" w:cs="Times New Roman"/>
      <w:b/>
      <w:color w:val="000000" w:themeColor="text1"/>
      <w:sz w:val="24"/>
    </w:rPr>
  </w:style>
  <w:style w:type="paragraph" w:styleId="NormalStyle">
    <w:name w:val="NormalStyle"/>
    <w:pPr>
      <w:spacing w:after="0" w:line="240" w:lineRule="auto"/>
      <w:jc w:val="left"/>
    </w:pPr>
    <w:rPr>
      <w:rFonts w:ascii="Times New Roman" w:hAnsi="Times New Roman" w:eastAsia="Times New Roman" w:cs="Times New Roman"/>
      <w:color w:val="000000" w:themeColor="text1"/>
      <w:sz w:val="24"/>
    </w:rPr>
  </w:style>
  <w:style w:type="paragraph" w:styleId="NormalSpacingStyle">
    <w:name w:val="NormalSpacingStyle"/>
    <w:pPr>
      <w:spacing w:line="240" w:lineRule="auto"/>
      <w:jc w:val="left"/>
    </w:pPr>
    <w:rPr>
      <w:rFonts w:ascii="Times New Roman" w:hAnsi="Times New Roman" w:eastAsia="Times New Roman" w:cs="Times New Roman"/>
      <w:color w:val="000000" w:themeColor="text1"/>
      <w:sz w:val="24"/>
    </w:rPr>
  </w:style>
  <w:style w:type="paragraph" w:styleId="BoldStyle">
    <w:name w:val="BoldStyle"/>
    <w:pPr>
      <w:spacing w:after="0" w:line="240" w:lineRule="auto"/>
      <w:jc w:val="left"/>
    </w:pPr>
    <w:rPr>
      <w:rFonts w:ascii="Times New Roman" w:hAnsi="Times New Roman" w:eastAsia="Times New Roman" w:cs="Times New Roman"/>
      <w:b/>
      <w:color w:val="000000" w:themeColor="text1"/>
      <w:sz w:val="24"/>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