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C0D" w:rsidRPr="001006E5" w:rsidRDefault="00061477" w:rsidP="006F1846">
      <w:pPr>
        <w:jc w:val="center"/>
        <w:rPr>
          <w:b/>
        </w:rPr>
      </w:pPr>
      <w:r w:rsidRPr="001006E5">
        <w:rPr>
          <w:b/>
        </w:rPr>
        <w:t>TABELA ZGODNOŚCI</w:t>
      </w:r>
    </w:p>
    <w:tbl>
      <w:tblPr>
        <w:tblStyle w:val="Tabela-Siatka"/>
        <w:tblW w:w="15588" w:type="dxa"/>
        <w:tblLayout w:type="fixed"/>
        <w:tblLook w:val="04A0" w:firstRow="1" w:lastRow="0" w:firstColumn="1" w:lastColumn="0" w:noHBand="0" w:noVBand="1"/>
      </w:tblPr>
      <w:tblGrid>
        <w:gridCol w:w="988"/>
        <w:gridCol w:w="5953"/>
        <w:gridCol w:w="851"/>
        <w:gridCol w:w="850"/>
        <w:gridCol w:w="3827"/>
        <w:gridCol w:w="3119"/>
      </w:tblGrid>
      <w:tr w:rsidR="006F1846" w:rsidTr="00E7625F">
        <w:tc>
          <w:tcPr>
            <w:tcW w:w="7792" w:type="dxa"/>
            <w:gridSpan w:val="3"/>
            <w:vAlign w:val="center"/>
          </w:tcPr>
          <w:p w:rsidR="006F1846" w:rsidRPr="006F1846" w:rsidRDefault="006F1846" w:rsidP="00A05171">
            <w:pPr>
              <w:spacing w:line="240" w:lineRule="auto"/>
              <w:rPr>
                <w:b/>
              </w:rPr>
            </w:pPr>
            <w:r>
              <w:rPr>
                <w:b/>
              </w:rPr>
              <w:t>TYTUŁ PROJEKTU</w:t>
            </w:r>
          </w:p>
        </w:tc>
        <w:tc>
          <w:tcPr>
            <w:tcW w:w="7796" w:type="dxa"/>
            <w:gridSpan w:val="3"/>
            <w:vAlign w:val="center"/>
          </w:tcPr>
          <w:p w:rsidR="006F1846" w:rsidRPr="00750819" w:rsidRDefault="00555C0D" w:rsidP="00E7625F">
            <w:pPr>
              <w:spacing w:line="240" w:lineRule="auto"/>
              <w:jc w:val="center"/>
              <w:rPr>
                <w:szCs w:val="24"/>
              </w:rPr>
            </w:pPr>
            <w:r>
              <w:t>Ustawa o</w:t>
            </w:r>
            <w:r w:rsidRPr="00A57398">
              <w:t xml:space="preserve"> </w:t>
            </w:r>
            <w:r>
              <w:t>ochronie</w:t>
            </w:r>
            <w:r w:rsidRPr="00A57398">
              <w:t xml:space="preserve"> osób zgłaszających naruszenia prawa</w:t>
            </w:r>
          </w:p>
        </w:tc>
      </w:tr>
      <w:tr w:rsidR="006F1846" w:rsidTr="00E7625F">
        <w:tc>
          <w:tcPr>
            <w:tcW w:w="7792" w:type="dxa"/>
            <w:gridSpan w:val="3"/>
            <w:vAlign w:val="center"/>
          </w:tcPr>
          <w:p w:rsidR="006F1846" w:rsidRPr="006F1846" w:rsidRDefault="006F1846" w:rsidP="00A05171">
            <w:pPr>
              <w:spacing w:line="240" w:lineRule="auto"/>
              <w:rPr>
                <w:b/>
              </w:rPr>
            </w:pPr>
            <w:r>
              <w:rPr>
                <w:b/>
              </w:rPr>
              <w:t>TYTUŁ WDRAŻANEGO AKTU PRAWNEGO / DRAŻANYCH AKTÓW PRAWNYCH</w:t>
            </w:r>
          </w:p>
        </w:tc>
        <w:tc>
          <w:tcPr>
            <w:tcW w:w="7796" w:type="dxa"/>
            <w:gridSpan w:val="3"/>
            <w:vAlign w:val="center"/>
          </w:tcPr>
          <w:p w:rsidR="006F1846" w:rsidRPr="00A05171" w:rsidRDefault="00555C0D" w:rsidP="00E7625F">
            <w:pPr>
              <w:spacing w:line="240" w:lineRule="auto"/>
              <w:jc w:val="both"/>
            </w:pPr>
            <w:r>
              <w:rPr>
                <w:rFonts w:ascii="Times" w:hAnsi="Times" w:cs="Times"/>
                <w:szCs w:val="24"/>
              </w:rPr>
              <w:t>D</w:t>
            </w:r>
            <w:r w:rsidRPr="00D34379">
              <w:rPr>
                <w:rFonts w:ascii="Times" w:hAnsi="Times" w:cs="Times"/>
                <w:szCs w:val="24"/>
              </w:rPr>
              <w:t>yrek</w:t>
            </w:r>
            <w:r>
              <w:rPr>
                <w:rFonts w:ascii="Times" w:hAnsi="Times" w:cs="Times"/>
                <w:szCs w:val="24"/>
              </w:rPr>
              <w:t>tyw</w:t>
            </w:r>
            <w:r w:rsidR="009621A9">
              <w:rPr>
                <w:rFonts w:ascii="Times" w:hAnsi="Times" w:cs="Times"/>
                <w:szCs w:val="24"/>
              </w:rPr>
              <w:t>a</w:t>
            </w:r>
            <w:r>
              <w:rPr>
                <w:rFonts w:ascii="Times" w:hAnsi="Times" w:cs="Times"/>
                <w:szCs w:val="24"/>
              </w:rPr>
              <w:t xml:space="preserve"> Parlamentu Europejskiego i </w:t>
            </w:r>
            <w:r w:rsidRPr="00D34379">
              <w:rPr>
                <w:rFonts w:ascii="Times" w:hAnsi="Times" w:cs="Times"/>
                <w:szCs w:val="24"/>
              </w:rPr>
              <w:t>Rady (UE) 2019/1937 z dnia 23 października 2019 r. w sprawie ochrony osób zgłaszającyc</w:t>
            </w:r>
            <w:r>
              <w:rPr>
                <w:rFonts w:ascii="Times" w:hAnsi="Times" w:cs="Times"/>
                <w:szCs w:val="24"/>
              </w:rPr>
              <w:t>h naruszenia prawa Unii.</w:t>
            </w:r>
          </w:p>
        </w:tc>
      </w:tr>
      <w:tr w:rsidR="006F1846" w:rsidTr="00E7625F">
        <w:tc>
          <w:tcPr>
            <w:tcW w:w="7792" w:type="dxa"/>
            <w:gridSpan w:val="3"/>
            <w:vAlign w:val="center"/>
          </w:tcPr>
          <w:p w:rsidR="006F1846" w:rsidRPr="006F1846" w:rsidRDefault="006F1846" w:rsidP="00A05171">
            <w:pPr>
              <w:spacing w:line="240" w:lineRule="auto"/>
              <w:rPr>
                <w:b/>
              </w:rPr>
            </w:pPr>
            <w:r>
              <w:rPr>
                <w:b/>
              </w:rPr>
              <w:t>WYJAŚNIENIE TERMINU WEJŚCIA W ŻYCIE PROJEKTU/PROJEKTÓW</w:t>
            </w:r>
          </w:p>
        </w:tc>
        <w:tc>
          <w:tcPr>
            <w:tcW w:w="7796" w:type="dxa"/>
            <w:gridSpan w:val="3"/>
            <w:vAlign w:val="center"/>
          </w:tcPr>
          <w:p w:rsidR="006F1846" w:rsidRPr="006F1846" w:rsidRDefault="00354263" w:rsidP="00E7625F">
            <w:pPr>
              <w:spacing w:line="240" w:lineRule="auto"/>
              <w:jc w:val="both"/>
            </w:pPr>
            <w:r>
              <w:rPr>
                <w:rFonts w:eastAsia="Calibri" w:cs="Times New Roman"/>
                <w:szCs w:val="24"/>
              </w:rPr>
              <w:t>T</w:t>
            </w:r>
            <w:r w:rsidR="001D6EF0">
              <w:rPr>
                <w:rFonts w:eastAsia="Calibri" w:cs="Times New Roman"/>
                <w:szCs w:val="24"/>
              </w:rPr>
              <w:t xml:space="preserve">ermin wejścia rozporządzenia w życie określono na dzień </w:t>
            </w:r>
            <w:r w:rsidR="00555C0D">
              <w:rPr>
                <w:rFonts w:eastAsia="Calibri" w:cs="Times New Roman"/>
                <w:szCs w:val="24"/>
              </w:rPr>
              <w:t>17 grudnia</w:t>
            </w:r>
            <w:r w:rsidR="001D6EF0">
              <w:rPr>
                <w:rFonts w:eastAsia="Calibri" w:cs="Times New Roman"/>
                <w:szCs w:val="24"/>
              </w:rPr>
              <w:t xml:space="preserve"> 2021 r.</w:t>
            </w:r>
          </w:p>
        </w:tc>
      </w:tr>
      <w:tr w:rsidR="00061477" w:rsidRPr="006F1846" w:rsidTr="00E7625F">
        <w:tc>
          <w:tcPr>
            <w:tcW w:w="988" w:type="dxa"/>
            <w:vAlign w:val="center"/>
          </w:tcPr>
          <w:p w:rsidR="00061477" w:rsidRPr="006F1846" w:rsidRDefault="00061477" w:rsidP="00A05171">
            <w:pPr>
              <w:spacing w:line="240" w:lineRule="auto"/>
              <w:rPr>
                <w:b/>
              </w:rPr>
            </w:pPr>
            <w:r w:rsidRPr="006F1846">
              <w:rPr>
                <w:b/>
              </w:rPr>
              <w:t>JEDN. RED.</w:t>
            </w:r>
          </w:p>
        </w:tc>
        <w:tc>
          <w:tcPr>
            <w:tcW w:w="5953" w:type="dxa"/>
            <w:vAlign w:val="center"/>
          </w:tcPr>
          <w:p w:rsidR="00061477" w:rsidRPr="006F1846" w:rsidRDefault="00061477" w:rsidP="00197554">
            <w:pPr>
              <w:spacing w:line="240" w:lineRule="auto"/>
              <w:jc w:val="center"/>
              <w:rPr>
                <w:b/>
              </w:rPr>
            </w:pPr>
            <w:r w:rsidRPr="006F1846">
              <w:rPr>
                <w:b/>
              </w:rPr>
              <w:t>TREŚĆ PRZEPISU UE</w:t>
            </w:r>
          </w:p>
        </w:tc>
        <w:tc>
          <w:tcPr>
            <w:tcW w:w="851" w:type="dxa"/>
            <w:vAlign w:val="center"/>
          </w:tcPr>
          <w:p w:rsidR="00061477" w:rsidRPr="006F1846" w:rsidRDefault="00061477" w:rsidP="00A05171">
            <w:pPr>
              <w:spacing w:line="240" w:lineRule="auto"/>
              <w:rPr>
                <w:b/>
              </w:rPr>
            </w:pPr>
            <w:r w:rsidRPr="006F1846">
              <w:rPr>
                <w:b/>
              </w:rPr>
              <w:t>KONIECZNOŚĆ WDROŻENIA T/N</w:t>
            </w:r>
          </w:p>
        </w:tc>
        <w:tc>
          <w:tcPr>
            <w:tcW w:w="850" w:type="dxa"/>
            <w:vAlign w:val="center"/>
          </w:tcPr>
          <w:p w:rsidR="00061477" w:rsidRPr="006F1846" w:rsidRDefault="00061477" w:rsidP="00A05171">
            <w:pPr>
              <w:spacing w:line="240" w:lineRule="auto"/>
              <w:rPr>
                <w:b/>
              </w:rPr>
            </w:pPr>
            <w:r w:rsidRPr="006F1846">
              <w:rPr>
                <w:b/>
              </w:rPr>
              <w:t>JEDN. RED.</w:t>
            </w:r>
          </w:p>
        </w:tc>
        <w:tc>
          <w:tcPr>
            <w:tcW w:w="3827" w:type="dxa"/>
            <w:vAlign w:val="center"/>
          </w:tcPr>
          <w:p w:rsidR="00061477" w:rsidRPr="006F1846" w:rsidRDefault="00061477" w:rsidP="00197554">
            <w:pPr>
              <w:spacing w:line="240" w:lineRule="auto"/>
              <w:jc w:val="center"/>
              <w:rPr>
                <w:b/>
              </w:rPr>
            </w:pPr>
            <w:r w:rsidRPr="006F1846">
              <w:rPr>
                <w:b/>
              </w:rPr>
              <w:t>TREŚĆ PRZEPISU/ÓW PROJEKTU</w:t>
            </w:r>
          </w:p>
        </w:tc>
        <w:tc>
          <w:tcPr>
            <w:tcW w:w="3119" w:type="dxa"/>
            <w:vAlign w:val="center"/>
          </w:tcPr>
          <w:p w:rsidR="00061477" w:rsidRPr="006F1846" w:rsidRDefault="00061477" w:rsidP="00197554">
            <w:pPr>
              <w:spacing w:line="240" w:lineRule="auto"/>
              <w:jc w:val="center"/>
              <w:rPr>
                <w:b/>
              </w:rPr>
            </w:pPr>
            <w:r w:rsidRPr="006F1846">
              <w:rPr>
                <w:b/>
              </w:rPr>
              <w:t>UZASADNIENIE</w:t>
            </w:r>
            <w:r w:rsidR="00B36870">
              <w:rPr>
                <w:b/>
              </w:rPr>
              <w:t xml:space="preserve"> UWZGLEDNIENIA W PROJEKCIE PRZEPISÓW WYKRACZAJACYCH POZA MINIMALNE WYMOGI PRAWA UE</w:t>
            </w:r>
          </w:p>
        </w:tc>
      </w:tr>
      <w:tr w:rsidR="00061477" w:rsidRPr="00E52299" w:rsidTr="00E7625F">
        <w:tc>
          <w:tcPr>
            <w:tcW w:w="988" w:type="dxa"/>
          </w:tcPr>
          <w:p w:rsidR="00061477"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t>Art. 1</w:t>
            </w:r>
          </w:p>
        </w:tc>
        <w:tc>
          <w:tcPr>
            <w:tcW w:w="5953" w:type="dxa"/>
          </w:tcPr>
          <w:p w:rsidR="009C62C8" w:rsidRPr="009C62C8" w:rsidRDefault="009C62C8" w:rsidP="009C62C8">
            <w:pPr>
              <w:spacing w:line="240" w:lineRule="auto"/>
              <w:jc w:val="center"/>
              <w:rPr>
                <w:rFonts w:asciiTheme="minorHAnsi" w:hAnsiTheme="minorHAnsi" w:cstheme="minorHAnsi"/>
                <w:b/>
                <w:color w:val="444444"/>
                <w:szCs w:val="24"/>
                <w:shd w:val="clear" w:color="auto" w:fill="FFFFFF"/>
              </w:rPr>
            </w:pPr>
            <w:r w:rsidRPr="009C62C8">
              <w:rPr>
                <w:rFonts w:asciiTheme="minorHAnsi" w:hAnsiTheme="minorHAnsi" w:cstheme="minorHAnsi"/>
                <w:b/>
                <w:color w:val="444444"/>
                <w:szCs w:val="24"/>
                <w:shd w:val="clear" w:color="auto" w:fill="FFFFFF"/>
              </w:rPr>
              <w:t>Cel</w:t>
            </w:r>
          </w:p>
          <w:p w:rsidR="00061477" w:rsidRPr="00AD24FA" w:rsidRDefault="008F2D63" w:rsidP="009C62C8">
            <w:pPr>
              <w:spacing w:line="240" w:lineRule="auto"/>
              <w:jc w:val="both"/>
              <w:rPr>
                <w:rFonts w:asciiTheme="minorHAnsi" w:hAnsiTheme="minorHAnsi" w:cstheme="minorHAnsi"/>
                <w:szCs w:val="24"/>
              </w:rPr>
            </w:pPr>
            <w:r w:rsidRPr="00AD24FA">
              <w:rPr>
                <w:rFonts w:asciiTheme="minorHAnsi" w:hAnsiTheme="minorHAnsi" w:cstheme="minorHAnsi"/>
                <w:color w:val="444444"/>
                <w:szCs w:val="24"/>
                <w:shd w:val="clear" w:color="auto" w:fill="FFFFFF"/>
              </w:rPr>
              <w:t>Celem niniejszej dyrektywy jest poprawa egzekwowania prawa i polityk Unii w określonych dziedzinach poprzez ustanowienie wspólnych minimalnych norm zapewniających wysoki poziom ochrony osób zgłaszających naruszenia prawa Unii.</w:t>
            </w:r>
          </w:p>
        </w:tc>
        <w:tc>
          <w:tcPr>
            <w:tcW w:w="851" w:type="dxa"/>
          </w:tcPr>
          <w:p w:rsidR="00061477" w:rsidRPr="00AD24FA" w:rsidRDefault="009621A9"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t>T</w:t>
            </w:r>
          </w:p>
        </w:tc>
        <w:tc>
          <w:tcPr>
            <w:tcW w:w="850" w:type="dxa"/>
          </w:tcPr>
          <w:p w:rsidR="00061477" w:rsidRPr="00AD24FA" w:rsidRDefault="009621A9"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t>Art. 1</w:t>
            </w:r>
          </w:p>
        </w:tc>
        <w:tc>
          <w:tcPr>
            <w:tcW w:w="3827" w:type="dxa"/>
          </w:tcPr>
          <w:p w:rsidR="009621A9" w:rsidRPr="00AD24FA" w:rsidRDefault="009621A9" w:rsidP="00AD24FA">
            <w:pPr>
              <w:pStyle w:val="ARTartustawynprozporzdzenia"/>
              <w:spacing w:line="240" w:lineRule="auto"/>
              <w:ind w:firstLine="0"/>
              <w:rPr>
                <w:rFonts w:asciiTheme="minorHAnsi" w:hAnsiTheme="minorHAnsi" w:cstheme="minorHAnsi"/>
                <w:szCs w:val="24"/>
              </w:rPr>
            </w:pPr>
            <w:r w:rsidRPr="00285408">
              <w:rPr>
                <w:rFonts w:asciiTheme="minorHAnsi" w:hAnsiTheme="minorHAnsi" w:cstheme="minorHAnsi"/>
                <w:b/>
                <w:szCs w:val="24"/>
              </w:rPr>
              <w:t>Art. 1.</w:t>
            </w:r>
            <w:r w:rsidRPr="00AD24FA">
              <w:rPr>
                <w:rFonts w:asciiTheme="minorHAnsi" w:hAnsiTheme="minorHAnsi" w:cstheme="minorHAnsi"/>
                <w:szCs w:val="24"/>
              </w:rPr>
              <w:t xml:space="preserve"> Ustawa reguluje:</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1)</w:t>
            </w:r>
            <w:r w:rsidRPr="00AD24FA">
              <w:rPr>
                <w:rFonts w:asciiTheme="minorHAnsi" w:hAnsiTheme="minorHAnsi" w:cstheme="minorHAnsi"/>
                <w:szCs w:val="24"/>
              </w:rPr>
              <w:tab/>
              <w:t>warunki objęcia ochroną pracowników oraz innych osób zgłaszających lub publicznie ujawniających informacje o naruszeniach prawa;</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2)</w:t>
            </w:r>
            <w:r w:rsidRPr="00AD24FA">
              <w:rPr>
                <w:rFonts w:asciiTheme="minorHAnsi" w:hAnsiTheme="minorHAnsi" w:cstheme="minorHAnsi"/>
                <w:szCs w:val="24"/>
              </w:rPr>
              <w:tab/>
              <w:t>środki ochrony pracowników oraz innych osób zgłaszających lub publicznie ujawniających informacje o naruszeniach prawa;</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3)</w:t>
            </w:r>
            <w:r w:rsidRPr="00AD24FA">
              <w:rPr>
                <w:rFonts w:asciiTheme="minorHAnsi" w:hAnsiTheme="minorHAnsi" w:cstheme="minorHAnsi"/>
                <w:szCs w:val="24"/>
              </w:rPr>
              <w:tab/>
              <w:t xml:space="preserve">regulamin zgłoszeń wewnętrznych określający wewnętrzną procedurę </w:t>
            </w:r>
            <w:r w:rsidRPr="00AD24FA">
              <w:rPr>
                <w:rFonts w:asciiTheme="minorHAnsi" w:hAnsiTheme="minorHAnsi" w:cstheme="minorHAnsi"/>
                <w:szCs w:val="24"/>
              </w:rPr>
              <w:lastRenderedPageBreak/>
              <w:t>zgłaszania naruszeń prawa stosowany przez pracodawcę;</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4)</w:t>
            </w:r>
            <w:r w:rsidRPr="00AD24FA">
              <w:rPr>
                <w:rFonts w:asciiTheme="minorHAnsi" w:hAnsiTheme="minorHAnsi" w:cstheme="minorHAnsi"/>
                <w:szCs w:val="24"/>
              </w:rPr>
              <w:tab/>
              <w:t>zgłaszanie naruszeń prawa organowi publicznemu lub organowi centralnemu;</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5)</w:t>
            </w:r>
            <w:r w:rsidRPr="00AD24FA">
              <w:rPr>
                <w:rFonts w:asciiTheme="minorHAnsi" w:hAnsiTheme="minorHAnsi" w:cstheme="minorHAnsi"/>
                <w:szCs w:val="24"/>
              </w:rPr>
              <w:tab/>
              <w:t>zasady publicznego ujawnienia naruszenia prawa;</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6)</w:t>
            </w:r>
            <w:r w:rsidRPr="00AD24FA">
              <w:rPr>
                <w:rFonts w:asciiTheme="minorHAnsi" w:hAnsiTheme="minorHAnsi" w:cstheme="minorHAnsi"/>
                <w:szCs w:val="24"/>
              </w:rPr>
              <w:tab/>
              <w:t>organy właściwe w sprawach zgłaszania naruszeń prawa i udzielania wsparcia.</w:t>
            </w:r>
          </w:p>
          <w:p w:rsidR="00061477" w:rsidRPr="00AD24FA" w:rsidRDefault="00061477" w:rsidP="00AD24FA">
            <w:pPr>
              <w:spacing w:line="240" w:lineRule="auto"/>
              <w:rPr>
                <w:rFonts w:asciiTheme="minorHAnsi" w:hAnsiTheme="minorHAnsi" w:cstheme="minorHAnsi"/>
                <w:szCs w:val="24"/>
              </w:rPr>
            </w:pPr>
          </w:p>
        </w:tc>
        <w:tc>
          <w:tcPr>
            <w:tcW w:w="3119" w:type="dxa"/>
          </w:tcPr>
          <w:p w:rsidR="00061477" w:rsidRPr="00AD24FA" w:rsidRDefault="00061477" w:rsidP="00AD24FA">
            <w:pPr>
              <w:spacing w:line="240" w:lineRule="auto"/>
              <w:rPr>
                <w:rFonts w:asciiTheme="minorHAnsi" w:hAnsiTheme="minorHAnsi" w:cstheme="minorHAnsi"/>
                <w:szCs w:val="24"/>
              </w:rPr>
            </w:pPr>
          </w:p>
        </w:tc>
      </w:tr>
      <w:tr w:rsidR="009621A9" w:rsidRPr="00E52299" w:rsidTr="00E7625F">
        <w:tc>
          <w:tcPr>
            <w:tcW w:w="988" w:type="dxa"/>
          </w:tcPr>
          <w:p w:rsidR="009621A9" w:rsidRPr="00AD24FA" w:rsidRDefault="009621A9" w:rsidP="00AD24FA">
            <w:pPr>
              <w:spacing w:line="240" w:lineRule="auto"/>
              <w:rPr>
                <w:rFonts w:asciiTheme="minorHAnsi" w:hAnsiTheme="minorHAnsi" w:cstheme="minorHAnsi"/>
                <w:b/>
                <w:szCs w:val="24"/>
              </w:rPr>
            </w:pPr>
            <w:r w:rsidRPr="00AD24FA">
              <w:rPr>
                <w:rFonts w:asciiTheme="minorHAnsi" w:hAnsiTheme="minorHAnsi" w:cstheme="minorHAnsi"/>
                <w:b/>
                <w:szCs w:val="24"/>
              </w:rPr>
              <w:t>Art. 2</w:t>
            </w:r>
          </w:p>
        </w:tc>
        <w:tc>
          <w:tcPr>
            <w:tcW w:w="5953" w:type="dxa"/>
          </w:tcPr>
          <w:p w:rsidR="009C62C8" w:rsidRPr="009C62C8" w:rsidRDefault="009C62C8" w:rsidP="009C62C8">
            <w:pPr>
              <w:spacing w:line="240" w:lineRule="auto"/>
              <w:jc w:val="center"/>
              <w:rPr>
                <w:rFonts w:asciiTheme="minorHAnsi" w:hAnsiTheme="minorHAnsi" w:cstheme="minorHAnsi"/>
                <w:b/>
                <w:color w:val="444444"/>
                <w:szCs w:val="24"/>
                <w:shd w:val="clear" w:color="auto" w:fill="FFFFFF"/>
              </w:rPr>
            </w:pPr>
            <w:r w:rsidRPr="009C62C8">
              <w:rPr>
                <w:rFonts w:asciiTheme="minorHAnsi" w:hAnsiTheme="minorHAnsi" w:cstheme="minorHAnsi"/>
                <w:b/>
                <w:color w:val="444444"/>
                <w:szCs w:val="24"/>
                <w:shd w:val="clear" w:color="auto" w:fill="FFFFFF"/>
              </w:rPr>
              <w:t>Zakres przedmiotowy</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1.   Niniejsza dyrektywa ustanawia wspólne minimalne normy ochrony osób zgłaszających następujące naruszenia prawa Unii:</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a) naruszenia objęte zakresem stosowania aktów Unii określonych w załączniku, dotyczące następujących dziedzin:</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(i) zamówienia publiczne;</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 xml:space="preserve">(ii) </w:t>
            </w:r>
            <w:r w:rsidRPr="00AD24FA">
              <w:rPr>
                <w:rFonts w:asciiTheme="minorHAnsi" w:hAnsiTheme="minorHAnsi" w:cstheme="minorHAnsi"/>
                <w:color w:val="444444"/>
                <w:szCs w:val="24"/>
              </w:rPr>
              <w:t>usługi, produkty i rynki finansowe oraz zapobieganie praniu pieniędzy i finansowaniu terroryzmu;</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(iii) bezpieczeństwo produktów i ich zgodność z wymogami;</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(iv) bezpieczeństwo transportu;</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(v) ochrona środowiska;</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 xml:space="preserve">(vi) </w:t>
            </w:r>
            <w:r w:rsidRPr="00AD24FA">
              <w:rPr>
                <w:rFonts w:asciiTheme="minorHAnsi" w:hAnsiTheme="minorHAnsi" w:cstheme="minorHAnsi"/>
                <w:color w:val="444444"/>
                <w:szCs w:val="24"/>
              </w:rPr>
              <w:t>ochrona radiologiczna i bezpieczeństwo jądrowe;</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(vii) bezpieczeństwo żywności i pasz, zdrowie i dobrostan zwierząt;</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(viii) zdrowie publiczne;</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(ix) ochrona konsumentów;</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lastRenderedPageBreak/>
              <w:t>(x) ochrona prywatności i danych osobowych oraz bezpieczeństwo sieci i systemów informacyjnych;</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(b) naruszenia mające wpływ na interesy finansowe Unii, o których mowa w art. 325 TFUE i określone szczegółowo w stosownych środkach unijnych;</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(c) naruszenia dotyczące rynku wewnętrznego, o którym mowa w art. 26 ust. 2 TFUE, w tym naruszenia unijnych zasad konkurencji i pomocy państwa, jak również naruszenia dotyczące rynku wewnętrznego w odniesieniu do działań, które stanowią naruszenie przepisów o podatku od osób prawnych lub do praktyk mających na celu uzyskanie korzyści podatkowej sprzecznej z przedmiotem lub celem mających zastosowanie przepisów o podatku od osób prawnych.</w:t>
            </w:r>
          </w:p>
          <w:p w:rsidR="009621A9" w:rsidRPr="00AD24FA" w:rsidRDefault="009621A9" w:rsidP="00AD24FA">
            <w:pPr>
              <w:spacing w:line="240" w:lineRule="auto"/>
              <w:rPr>
                <w:rFonts w:asciiTheme="minorHAnsi" w:hAnsiTheme="minorHAnsi" w:cstheme="minorHAnsi"/>
                <w:color w:val="444444"/>
                <w:szCs w:val="24"/>
                <w:shd w:val="clear" w:color="auto" w:fill="FFFFFF"/>
              </w:rPr>
            </w:pPr>
            <w:r w:rsidRPr="00AD24FA">
              <w:rPr>
                <w:rFonts w:asciiTheme="minorHAnsi" w:hAnsiTheme="minorHAnsi" w:cstheme="minorHAnsi"/>
                <w:color w:val="444444"/>
                <w:szCs w:val="24"/>
                <w:shd w:val="clear" w:color="auto" w:fill="FFFFFF"/>
              </w:rPr>
              <w:t>2. Niniejsza dyrektywa pozostaje bez uszczerbku dla uprawnienia państw członkowskich do rozszerzenia zakresu ochrony na mocy prawa krajowego w odniesieniu do dziedzin lub aktów nieobjętych ust. 1.</w:t>
            </w:r>
          </w:p>
        </w:tc>
        <w:tc>
          <w:tcPr>
            <w:tcW w:w="851" w:type="dxa"/>
          </w:tcPr>
          <w:p w:rsidR="009621A9" w:rsidRPr="00AD24FA" w:rsidRDefault="009621A9"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9621A9" w:rsidRPr="00AD24FA" w:rsidRDefault="009621A9"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t>Art. 3</w:t>
            </w:r>
          </w:p>
        </w:tc>
        <w:tc>
          <w:tcPr>
            <w:tcW w:w="3827" w:type="dxa"/>
          </w:tcPr>
          <w:p w:rsidR="009621A9" w:rsidRPr="00AD24FA" w:rsidRDefault="0048582D" w:rsidP="00AD24FA">
            <w:pPr>
              <w:pStyle w:val="ARTartustawynprozporzdzenia"/>
              <w:spacing w:line="240" w:lineRule="auto"/>
              <w:ind w:firstLine="0"/>
              <w:rPr>
                <w:rFonts w:asciiTheme="minorHAnsi" w:hAnsiTheme="minorHAnsi" w:cstheme="minorHAnsi"/>
                <w:szCs w:val="24"/>
              </w:rPr>
            </w:pPr>
            <w:r w:rsidRPr="00285408">
              <w:rPr>
                <w:rFonts w:asciiTheme="minorHAnsi" w:hAnsiTheme="minorHAnsi" w:cstheme="minorHAnsi"/>
                <w:b/>
                <w:szCs w:val="24"/>
              </w:rPr>
              <w:t>Art. 3</w:t>
            </w:r>
            <w:r>
              <w:rPr>
                <w:rFonts w:asciiTheme="minorHAnsi" w:hAnsiTheme="minorHAnsi" w:cstheme="minorHAnsi"/>
                <w:szCs w:val="24"/>
              </w:rPr>
              <w:t xml:space="preserve"> </w:t>
            </w:r>
            <w:r w:rsidR="009621A9" w:rsidRPr="00AD24FA">
              <w:rPr>
                <w:rFonts w:asciiTheme="minorHAnsi" w:hAnsiTheme="minorHAnsi" w:cstheme="minorHAnsi"/>
                <w:szCs w:val="24"/>
              </w:rPr>
              <w:t>Naruszeniem prawa jest działanie lub zaniechanie niezgodne z prawem lub mające na celu obejście prawa dotyczące:</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1)</w:t>
            </w:r>
            <w:r w:rsidRPr="00AD24FA">
              <w:rPr>
                <w:rFonts w:asciiTheme="minorHAnsi" w:hAnsiTheme="minorHAnsi" w:cstheme="minorHAnsi"/>
                <w:szCs w:val="24"/>
              </w:rPr>
              <w:tab/>
              <w:t>zamówień publicznych, z wyłączeniem zamówień publicznych dotyczących obronności i bezpieczeństwa;</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2)</w:t>
            </w:r>
            <w:r w:rsidRPr="00AD24FA">
              <w:rPr>
                <w:rFonts w:asciiTheme="minorHAnsi" w:hAnsiTheme="minorHAnsi" w:cstheme="minorHAnsi"/>
                <w:szCs w:val="24"/>
              </w:rPr>
              <w:tab/>
              <w:t>usług, produktów i rynków finansowych;</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3)</w:t>
            </w:r>
            <w:r w:rsidRPr="00AD24FA">
              <w:rPr>
                <w:rFonts w:asciiTheme="minorHAnsi" w:hAnsiTheme="minorHAnsi" w:cstheme="minorHAnsi"/>
                <w:szCs w:val="24"/>
              </w:rPr>
              <w:tab/>
              <w:t>zapobiegania praniu pieniędzy i finansowaniu terroryzmu;</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4)</w:t>
            </w:r>
            <w:r w:rsidRPr="00AD24FA">
              <w:rPr>
                <w:rFonts w:asciiTheme="minorHAnsi" w:hAnsiTheme="minorHAnsi" w:cstheme="minorHAnsi"/>
                <w:szCs w:val="24"/>
              </w:rPr>
              <w:tab/>
              <w:t>bezpieczeństwa produktów i ich zgodności z wymogami;</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5)</w:t>
            </w:r>
            <w:r w:rsidRPr="00AD24FA">
              <w:rPr>
                <w:rFonts w:asciiTheme="minorHAnsi" w:hAnsiTheme="minorHAnsi" w:cstheme="minorHAnsi"/>
                <w:szCs w:val="24"/>
              </w:rPr>
              <w:tab/>
              <w:t>bezpieczeństwa transportu;</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6)</w:t>
            </w:r>
            <w:r w:rsidRPr="00AD24FA">
              <w:rPr>
                <w:rFonts w:asciiTheme="minorHAnsi" w:hAnsiTheme="minorHAnsi" w:cstheme="minorHAnsi"/>
                <w:szCs w:val="24"/>
              </w:rPr>
              <w:tab/>
              <w:t>ochrony środowiska;</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7)</w:t>
            </w:r>
            <w:r w:rsidRPr="00AD24FA">
              <w:rPr>
                <w:rFonts w:asciiTheme="minorHAnsi" w:hAnsiTheme="minorHAnsi" w:cstheme="minorHAnsi"/>
                <w:szCs w:val="24"/>
              </w:rPr>
              <w:tab/>
              <w:t>ochrony radiologicznej i bezpieczeństwa jądrowego;</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8)</w:t>
            </w:r>
            <w:r w:rsidRPr="00AD24FA">
              <w:rPr>
                <w:rFonts w:asciiTheme="minorHAnsi" w:hAnsiTheme="minorHAnsi" w:cstheme="minorHAnsi"/>
                <w:szCs w:val="24"/>
              </w:rPr>
              <w:tab/>
              <w:t>bezpieczeństwa żywności i pasz;</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lastRenderedPageBreak/>
              <w:t>9)</w:t>
            </w:r>
            <w:r w:rsidRPr="00AD24FA">
              <w:rPr>
                <w:rFonts w:asciiTheme="minorHAnsi" w:hAnsiTheme="minorHAnsi" w:cstheme="minorHAnsi"/>
                <w:szCs w:val="24"/>
              </w:rPr>
              <w:tab/>
              <w:t>zdrowia i dobrostanu zwierząt;</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10)</w:t>
            </w:r>
            <w:r w:rsidRPr="00AD24FA">
              <w:rPr>
                <w:rFonts w:asciiTheme="minorHAnsi" w:hAnsiTheme="minorHAnsi" w:cstheme="minorHAnsi"/>
                <w:szCs w:val="24"/>
              </w:rPr>
              <w:tab/>
              <w:t>zdrowia publicznego;</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11)</w:t>
            </w:r>
            <w:r w:rsidRPr="00AD24FA">
              <w:rPr>
                <w:rFonts w:asciiTheme="minorHAnsi" w:hAnsiTheme="minorHAnsi" w:cstheme="minorHAnsi"/>
                <w:szCs w:val="24"/>
              </w:rPr>
              <w:tab/>
              <w:t>ochrony konsumentów,</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12)</w:t>
            </w:r>
            <w:r w:rsidRPr="00AD24FA">
              <w:rPr>
                <w:rFonts w:asciiTheme="minorHAnsi" w:hAnsiTheme="minorHAnsi" w:cstheme="minorHAnsi"/>
                <w:szCs w:val="24"/>
              </w:rPr>
              <w:tab/>
              <w:t>ochrony prywatności i danych osobowych;</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13)</w:t>
            </w:r>
            <w:r w:rsidRPr="00AD24FA">
              <w:rPr>
                <w:rFonts w:asciiTheme="minorHAnsi" w:hAnsiTheme="minorHAnsi" w:cstheme="minorHAnsi"/>
                <w:szCs w:val="24"/>
              </w:rPr>
              <w:tab/>
              <w:t>bezpieczeństwa sieci i systemów teleinformatycznych;</w:t>
            </w:r>
          </w:p>
          <w:p w:rsidR="009621A9" w:rsidRPr="00AD24FA"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14)</w:t>
            </w:r>
            <w:r w:rsidRPr="00AD24FA">
              <w:rPr>
                <w:rFonts w:asciiTheme="minorHAnsi" w:hAnsiTheme="minorHAnsi" w:cstheme="minorHAnsi"/>
                <w:szCs w:val="24"/>
              </w:rPr>
              <w:tab/>
              <w:t>interesów finansowych Unii Europejskiej;</w:t>
            </w:r>
          </w:p>
          <w:p w:rsidR="009621A9" w:rsidRDefault="009621A9" w:rsidP="00AD24FA">
            <w:pPr>
              <w:pStyle w:val="PKTpunkt"/>
              <w:spacing w:line="240" w:lineRule="auto"/>
              <w:rPr>
                <w:rFonts w:asciiTheme="minorHAnsi" w:hAnsiTheme="minorHAnsi" w:cstheme="minorHAnsi"/>
                <w:szCs w:val="24"/>
              </w:rPr>
            </w:pPr>
            <w:r w:rsidRPr="00AD24FA">
              <w:rPr>
                <w:rFonts w:asciiTheme="minorHAnsi" w:hAnsiTheme="minorHAnsi" w:cstheme="minorHAnsi"/>
                <w:szCs w:val="24"/>
              </w:rPr>
              <w:t>15)</w:t>
            </w:r>
            <w:r w:rsidRPr="00AD24FA">
              <w:rPr>
                <w:rFonts w:asciiTheme="minorHAnsi" w:hAnsiTheme="minorHAnsi" w:cstheme="minorHAnsi"/>
                <w:szCs w:val="24"/>
              </w:rPr>
              <w:tab/>
              <w:t>rynku wewnętrznego Unii Europejskiej, w tym zasad konkurencji i pomocy państwa oraz opodatkowania osób prawnych.</w:t>
            </w:r>
          </w:p>
          <w:p w:rsidR="00D93DD2" w:rsidRDefault="00D93DD2" w:rsidP="00D93DD2">
            <w:pPr>
              <w:pStyle w:val="USTustnpkodeksu"/>
              <w:ind w:firstLine="0"/>
            </w:pPr>
            <w:r>
              <w:t>2. Pracodawca może dodatkowo ustanowić zgłaszanie w zakładzie pracy</w:t>
            </w:r>
            <w:r w:rsidRPr="00C23FDA">
              <w:t xml:space="preserve"> </w:t>
            </w:r>
            <w:r>
              <w:t>innych naruszeń niż naruszenia, o których mowa w ust. 1, w tym dotyczących obowiązujących u tego pracodawcy regulacji wewnętrznych lub standardów etycznych.</w:t>
            </w:r>
          </w:p>
          <w:p w:rsidR="00D93DD2" w:rsidRPr="00AD24FA" w:rsidRDefault="00D93DD2" w:rsidP="00AD24FA">
            <w:pPr>
              <w:pStyle w:val="PKTpunkt"/>
              <w:spacing w:line="240" w:lineRule="auto"/>
              <w:rPr>
                <w:rFonts w:asciiTheme="minorHAnsi" w:hAnsiTheme="minorHAnsi" w:cstheme="minorHAnsi"/>
                <w:szCs w:val="24"/>
              </w:rPr>
            </w:pPr>
          </w:p>
        </w:tc>
        <w:tc>
          <w:tcPr>
            <w:tcW w:w="3119" w:type="dxa"/>
          </w:tcPr>
          <w:p w:rsidR="009621A9" w:rsidRPr="00AD24FA" w:rsidRDefault="009621A9" w:rsidP="00AD24FA">
            <w:pPr>
              <w:spacing w:line="240" w:lineRule="auto"/>
              <w:rPr>
                <w:rFonts w:asciiTheme="minorHAnsi" w:hAnsiTheme="minorHAnsi" w:cstheme="minorHAnsi"/>
                <w:szCs w:val="24"/>
              </w:rPr>
            </w:pPr>
          </w:p>
        </w:tc>
      </w:tr>
      <w:tr w:rsidR="00061477" w:rsidRPr="00E52299" w:rsidTr="00E7625F">
        <w:tc>
          <w:tcPr>
            <w:tcW w:w="988" w:type="dxa"/>
          </w:tcPr>
          <w:p w:rsidR="00061477"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t>Art. 3</w:t>
            </w:r>
          </w:p>
        </w:tc>
        <w:tc>
          <w:tcPr>
            <w:tcW w:w="5953" w:type="dxa"/>
          </w:tcPr>
          <w:p w:rsidR="008F2D63" w:rsidRPr="00AD24FA" w:rsidRDefault="008F2D63" w:rsidP="009C62C8">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Związek z innymi aktami Unii i przepisami krajowymi</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1.   Jeżeli w sektorowych aktach Unii wymienionych w części II załącznika ustanowiono przepisy szczególne dotyczące zgłaszania naruszeń, stosuje się te przepisy. Przepisy niniejszej dyrektywy stosuje się w zakresie, w </w:t>
            </w:r>
            <w:r w:rsidRPr="00AD24FA">
              <w:rPr>
                <w:rFonts w:asciiTheme="minorHAnsi" w:hAnsiTheme="minorHAnsi" w:cstheme="minorHAnsi"/>
                <w:color w:val="444444"/>
                <w:szCs w:val="24"/>
                <w:lang w:eastAsia="pl-PL"/>
              </w:rPr>
              <w:lastRenderedPageBreak/>
              <w:t>jakim dana kwestia nie jest uregulowana w tych sektorowych aktach Unii w sposób wiążący.</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2.   Niniejsza dyrektywa nie wpływa na odpowiedzialność państw członkowskich za zapewnienie bezpieczeństwa narodowego, ani na uprawnienia państw członkowskich do ochrony swych podstawowych interesów bezpieczeństwa. W szczególności nie stosuje się jej do zgłoszeń w sprawie naruszeń przepisów dotyczących zamówień publicznych dotyczących aspektów obronności lub bezpieczeństwa, chyba że są one objęte odpowiednimi aktami Unii.</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3.   Niniejsza dyrektywa nie wpływa na stosowanie prawa Unii ani prawa krajowego w odniesieniu do:</w:t>
            </w:r>
          </w:p>
          <w:tbl>
            <w:tblPr>
              <w:tblW w:w="5000" w:type="pct"/>
              <w:tblLayout w:type="fixed"/>
              <w:tblCellMar>
                <w:left w:w="0" w:type="dxa"/>
                <w:right w:w="0" w:type="dxa"/>
              </w:tblCellMar>
              <w:tblLook w:val="04A0" w:firstRow="1" w:lastRow="0" w:firstColumn="1" w:lastColumn="0" w:noHBand="0" w:noVBand="1"/>
            </w:tblPr>
            <w:tblGrid>
              <w:gridCol w:w="336"/>
              <w:gridCol w:w="5401"/>
            </w:tblGrid>
            <w:tr w:rsidR="008F2D63" w:rsidRPr="00AD24FA" w:rsidTr="008F2D63">
              <w:tc>
                <w:tcPr>
                  <w:tcW w:w="539"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886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ochrony informacji niejawnych;</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82"/>
              <w:gridCol w:w="5555"/>
            </w:tblGrid>
            <w:tr w:rsidR="008F2D63" w:rsidRPr="00AD24FA" w:rsidTr="008F2D63">
              <w:tc>
                <w:tcPr>
                  <w:tcW w:w="2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119"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ochrony prawniczej tajemnicy zawodowej i tajemnicy medycznej;</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306"/>
              <w:gridCol w:w="5431"/>
            </w:tblGrid>
            <w:tr w:rsidR="008F2D63" w:rsidRPr="00AD24FA" w:rsidTr="008F2D63">
              <w:tc>
                <w:tcPr>
                  <w:tcW w:w="491"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c)</w:t>
                  </w:r>
                </w:p>
              </w:tc>
              <w:tc>
                <w:tcPr>
                  <w:tcW w:w="8915"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tajemnicy narady sędziowskiej; lub</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251"/>
              <w:gridCol w:w="5486"/>
            </w:tblGrid>
            <w:tr w:rsidR="008F2D63" w:rsidRPr="00AD24FA" w:rsidTr="008F2D63">
              <w:tc>
                <w:tcPr>
                  <w:tcW w:w="399"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d)</w:t>
                  </w:r>
                </w:p>
              </w:tc>
              <w:tc>
                <w:tcPr>
                  <w:tcW w:w="900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przepisów dotyczących postępowania karnego.</w:t>
                  </w:r>
                </w:p>
              </w:tc>
            </w:tr>
          </w:tbl>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4.   Niniejsza dyrektywa nie wpływa na przepisy krajowe dotyczące wykonywania przez pracowników ich prawa do konsultacji z ich przedstawicielami lub związkami zawodowymi, przepisy krajowe dotyczące ochrony przed nieuzasadnionym szkodliwym działaniem w wyniku takich konsultacji ani na przepisy krajowe dotyczące autonomii partnerów społecznych i ich prawa do zawierania układów zbiorowych. Pozostaje to bez uszczerbku dla poziomu ochrony przyznanej na mocy niniejszej dyrektywy.</w:t>
            </w:r>
          </w:p>
          <w:p w:rsidR="00061477" w:rsidRPr="00AD24FA" w:rsidRDefault="00061477" w:rsidP="00AD24FA">
            <w:pPr>
              <w:spacing w:line="240" w:lineRule="auto"/>
              <w:rPr>
                <w:rFonts w:asciiTheme="minorHAnsi" w:hAnsiTheme="minorHAnsi" w:cstheme="minorHAnsi"/>
                <w:szCs w:val="24"/>
              </w:rPr>
            </w:pPr>
          </w:p>
        </w:tc>
        <w:tc>
          <w:tcPr>
            <w:tcW w:w="851" w:type="dxa"/>
          </w:tcPr>
          <w:p w:rsidR="00061477" w:rsidRPr="00AD24FA" w:rsidRDefault="00A81DF1"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061477" w:rsidRPr="00AD24FA" w:rsidRDefault="00A81DF1"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t>Art. 5</w:t>
            </w:r>
            <w:r w:rsidR="00663813" w:rsidRPr="00AD24FA">
              <w:rPr>
                <w:rFonts w:asciiTheme="minorHAnsi" w:hAnsiTheme="minorHAnsi" w:cstheme="minorHAnsi"/>
                <w:b/>
                <w:szCs w:val="24"/>
              </w:rPr>
              <w:t xml:space="preserve"> </w:t>
            </w:r>
          </w:p>
        </w:tc>
        <w:tc>
          <w:tcPr>
            <w:tcW w:w="3827" w:type="dxa"/>
          </w:tcPr>
          <w:p w:rsidR="00D93DD2" w:rsidRPr="00A57398" w:rsidRDefault="00D93DD2" w:rsidP="00D93DD2">
            <w:pPr>
              <w:pStyle w:val="ARTartustawynprozporzdzenia"/>
              <w:ind w:firstLine="0"/>
            </w:pPr>
            <w:r w:rsidRPr="00243D8E">
              <w:rPr>
                <w:rStyle w:val="Ppogrubienie"/>
              </w:rPr>
              <w:t>Art. 5.</w:t>
            </w:r>
            <w:r w:rsidRPr="00A57398">
              <w:t xml:space="preserve"> </w:t>
            </w:r>
            <w:r>
              <w:t>1. Przepisów u</w:t>
            </w:r>
            <w:r w:rsidRPr="00A57398">
              <w:t>stawy nie stosuje się do:</w:t>
            </w:r>
          </w:p>
          <w:p w:rsidR="00D93DD2" w:rsidRPr="00A57398" w:rsidRDefault="00D93DD2" w:rsidP="00D93DD2">
            <w:pPr>
              <w:pStyle w:val="PKTpunkt"/>
            </w:pPr>
            <w:r>
              <w:t>1)</w:t>
            </w:r>
            <w:r>
              <w:tab/>
            </w:r>
            <w:r w:rsidRPr="00A57398">
              <w:t>ochrony informacji niejawnych</w:t>
            </w:r>
            <w:r>
              <w:t>;</w:t>
            </w:r>
          </w:p>
          <w:p w:rsidR="00D93DD2" w:rsidRPr="00A57398" w:rsidRDefault="00D93DD2" w:rsidP="00D93DD2">
            <w:pPr>
              <w:pStyle w:val="PKTpunkt"/>
            </w:pPr>
            <w:r>
              <w:lastRenderedPageBreak/>
              <w:t>2)</w:t>
            </w:r>
            <w:r>
              <w:tab/>
            </w:r>
            <w:r w:rsidRPr="00A57398">
              <w:t>tajemnicy związanej z wykonywaniem zawodu</w:t>
            </w:r>
            <w:r>
              <w:t>;</w:t>
            </w:r>
          </w:p>
          <w:p w:rsidR="00D93DD2" w:rsidRPr="00A57398" w:rsidRDefault="00D93DD2" w:rsidP="00D93DD2">
            <w:pPr>
              <w:pStyle w:val="PKTpunkt"/>
            </w:pPr>
            <w:r>
              <w:t>3)</w:t>
            </w:r>
            <w:r>
              <w:tab/>
            </w:r>
            <w:r w:rsidRPr="00A57398">
              <w:t>tajemnicy narady sędziowskiej</w:t>
            </w:r>
            <w:r>
              <w:t>;</w:t>
            </w:r>
          </w:p>
          <w:p w:rsidR="00D93DD2" w:rsidRDefault="00D93DD2" w:rsidP="00D93DD2">
            <w:pPr>
              <w:pStyle w:val="PKTpunkt"/>
            </w:pPr>
            <w:r>
              <w:t>4)</w:t>
            </w:r>
            <w:r>
              <w:tab/>
            </w:r>
            <w:r w:rsidRPr="00A57398">
              <w:t>postępowania karnego</w:t>
            </w:r>
            <w:r>
              <w:t>.</w:t>
            </w:r>
          </w:p>
          <w:p w:rsidR="00D93DD2" w:rsidRPr="00A57398" w:rsidRDefault="00D93DD2" w:rsidP="00D93DD2">
            <w:pPr>
              <w:pStyle w:val="USTustnpkodeksu"/>
            </w:pPr>
            <w:r>
              <w:t xml:space="preserve">2. </w:t>
            </w:r>
            <w:r w:rsidRPr="00A57398">
              <w:t xml:space="preserve">Przepisów ustawy nie stosuje się, </w:t>
            </w:r>
            <w:r>
              <w:t>jeżeli informacja o naruszeniu prawa została zgłoszona na postawie przepisów odrębnych, w szczególności jako skarga lub zawiadomienie o możliwości popełnienia przestępstwa.</w:t>
            </w:r>
          </w:p>
          <w:p w:rsidR="00D93DD2" w:rsidRPr="00A57398" w:rsidRDefault="00D93DD2" w:rsidP="00D93DD2">
            <w:pPr>
              <w:pStyle w:val="USTustnpkodeksu"/>
              <w:ind w:firstLine="0"/>
            </w:pPr>
            <w:r>
              <w:t xml:space="preserve">3. </w:t>
            </w:r>
            <w:r w:rsidRPr="00A57398">
              <w:t xml:space="preserve">Przepisów ustawy nie stosuje się, </w:t>
            </w:r>
            <w:r>
              <w:t>jeżeli</w:t>
            </w:r>
            <w:r w:rsidRPr="00A57398">
              <w:t xml:space="preserve"> naruszenie </w:t>
            </w:r>
            <w:r>
              <w:t xml:space="preserve">prawa </w:t>
            </w:r>
            <w:r w:rsidRPr="00A57398">
              <w:t xml:space="preserve">godzi wyłącznie w prawa zgłaszającego lub zgłoszenie naruszenia </w:t>
            </w:r>
            <w:r>
              <w:t xml:space="preserve">prawa </w:t>
            </w:r>
            <w:r w:rsidRPr="00A57398">
              <w:t>następuje wyłącznie w indywidualnym interesie zgłaszającego.</w:t>
            </w:r>
          </w:p>
          <w:p w:rsidR="00D93DD2" w:rsidRPr="00A57398" w:rsidRDefault="00D93DD2" w:rsidP="00D93DD2">
            <w:pPr>
              <w:pStyle w:val="ARTartustawynprozporzdzenia"/>
              <w:ind w:firstLine="0"/>
            </w:pPr>
            <w:r>
              <w:t xml:space="preserve">4. </w:t>
            </w:r>
            <w:r w:rsidRPr="00A57398">
              <w:t xml:space="preserve">Przepisów ustawy nie stosuje się </w:t>
            </w:r>
            <w:r>
              <w:t>do</w:t>
            </w:r>
            <w:r w:rsidRPr="00A57398">
              <w:t xml:space="preserve"> sprawcy naruszenia</w:t>
            </w:r>
            <w:r>
              <w:t xml:space="preserve"> prawa,</w:t>
            </w:r>
            <w:r w:rsidRPr="00A57398">
              <w:t xml:space="preserve"> </w:t>
            </w:r>
            <w:r>
              <w:t>jeżeli</w:t>
            </w:r>
            <w:r w:rsidRPr="00A57398">
              <w:t xml:space="preserve"> na podstawie obowiązujących przepisów </w:t>
            </w:r>
            <w:r w:rsidRPr="00A57398">
              <w:lastRenderedPageBreak/>
              <w:t>osoba taka korzysta ze zwolnienia z odpowiedzialności lub złagodzenia kary w związku ze swoim zachowaniem po popełnieniu naruszenia</w:t>
            </w:r>
            <w:r>
              <w:t xml:space="preserve"> prawa</w:t>
            </w:r>
            <w:r w:rsidRPr="00A57398">
              <w:t xml:space="preserve">, w szczególności dobrowolnym ujawnieniem naruszenia </w:t>
            </w:r>
            <w:r>
              <w:t xml:space="preserve">prawa </w:t>
            </w:r>
            <w:r w:rsidRPr="00A57398">
              <w:t>lub współpracą z organami ścigania lub innymi właściwymi organami.</w:t>
            </w:r>
          </w:p>
          <w:p w:rsidR="00D93DD2" w:rsidRPr="00A57398" w:rsidRDefault="00D93DD2" w:rsidP="00D93DD2">
            <w:pPr>
              <w:pStyle w:val="ARTartustawynprozporzdzenia"/>
              <w:ind w:firstLine="0"/>
            </w:pPr>
            <w:r>
              <w:t xml:space="preserve">5. </w:t>
            </w:r>
            <w:r w:rsidRPr="00A57398">
              <w:t xml:space="preserve">Przepisów ustawy nie stosuje się do naruszeń </w:t>
            </w:r>
            <w:r>
              <w:t xml:space="preserve">prawa </w:t>
            </w:r>
            <w:r w:rsidRPr="00A57398">
              <w:t xml:space="preserve">w zakresie zamówień publicznych w dziedzinach obronności i bezpieczeństwa </w:t>
            </w:r>
            <w:r>
              <w:t xml:space="preserve">w rozumieniu </w:t>
            </w:r>
            <w:r w:rsidRPr="00A57398">
              <w:t>art. 7 pkt 36 ustawy z dnia 11 września 20</w:t>
            </w:r>
            <w:r>
              <w:t>19</w:t>
            </w:r>
            <w:r w:rsidRPr="00A57398">
              <w:t xml:space="preserve"> r. – Prawo zamówień publicznych (Dz. U. </w:t>
            </w:r>
            <w:r>
              <w:t xml:space="preserve">z 2021 r. </w:t>
            </w:r>
            <w:r w:rsidRPr="00A57398">
              <w:t xml:space="preserve">poz. </w:t>
            </w:r>
            <w:r>
              <w:t xml:space="preserve">1129 i </w:t>
            </w:r>
            <w:r w:rsidRPr="00C01FA1">
              <w:t>1598</w:t>
            </w:r>
            <w:r w:rsidRPr="00A57398">
              <w:t>)</w:t>
            </w:r>
            <w:r>
              <w:t>.</w:t>
            </w:r>
          </w:p>
          <w:p w:rsidR="009D14CE" w:rsidRDefault="009D14CE" w:rsidP="0048582D">
            <w:pPr>
              <w:pStyle w:val="ARTartustawynprozporzdzenia"/>
              <w:spacing w:line="240" w:lineRule="auto"/>
              <w:ind w:firstLine="0"/>
              <w:rPr>
                <w:rFonts w:asciiTheme="minorHAnsi" w:hAnsiTheme="minorHAnsi" w:cstheme="minorHAnsi"/>
                <w:szCs w:val="24"/>
              </w:rPr>
            </w:pPr>
          </w:p>
          <w:p w:rsidR="00663813" w:rsidRPr="00AD24FA" w:rsidRDefault="00663813" w:rsidP="00AD24FA">
            <w:pPr>
              <w:pStyle w:val="ARTartustawynprozporzdzenia"/>
              <w:spacing w:line="240" w:lineRule="auto"/>
              <w:rPr>
                <w:rFonts w:asciiTheme="minorHAnsi" w:hAnsiTheme="minorHAnsi" w:cstheme="minorHAnsi"/>
                <w:szCs w:val="24"/>
              </w:rPr>
            </w:pPr>
          </w:p>
          <w:p w:rsidR="00663813" w:rsidRPr="00AD24FA" w:rsidRDefault="00663813" w:rsidP="00AD24FA">
            <w:pPr>
              <w:pStyle w:val="PKTpunkt"/>
              <w:spacing w:line="240" w:lineRule="auto"/>
              <w:rPr>
                <w:rFonts w:asciiTheme="minorHAnsi" w:hAnsiTheme="minorHAnsi" w:cstheme="minorHAnsi"/>
                <w:szCs w:val="24"/>
              </w:rPr>
            </w:pPr>
          </w:p>
          <w:p w:rsidR="00061477" w:rsidRPr="00AD24FA" w:rsidRDefault="00061477" w:rsidP="00AD24FA">
            <w:pPr>
              <w:spacing w:line="240" w:lineRule="auto"/>
              <w:rPr>
                <w:rFonts w:asciiTheme="minorHAnsi" w:hAnsiTheme="minorHAnsi" w:cstheme="minorHAnsi"/>
                <w:szCs w:val="24"/>
              </w:rPr>
            </w:pPr>
          </w:p>
        </w:tc>
        <w:tc>
          <w:tcPr>
            <w:tcW w:w="3119" w:type="dxa"/>
          </w:tcPr>
          <w:p w:rsidR="00061477" w:rsidRPr="00AD24FA" w:rsidRDefault="00061477" w:rsidP="00AD24FA">
            <w:pPr>
              <w:spacing w:line="240" w:lineRule="auto"/>
              <w:rPr>
                <w:rFonts w:asciiTheme="minorHAnsi" w:hAnsiTheme="minorHAnsi" w:cstheme="minorHAnsi"/>
                <w:szCs w:val="24"/>
              </w:rPr>
            </w:pPr>
          </w:p>
        </w:tc>
      </w:tr>
      <w:tr w:rsidR="0093071D" w:rsidRPr="00E52299" w:rsidTr="00E7625F">
        <w:tc>
          <w:tcPr>
            <w:tcW w:w="988" w:type="dxa"/>
          </w:tcPr>
          <w:p w:rsidR="0093071D"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4</w:t>
            </w:r>
          </w:p>
        </w:tc>
        <w:tc>
          <w:tcPr>
            <w:tcW w:w="5953" w:type="dxa"/>
          </w:tcPr>
          <w:p w:rsidR="008F2D63" w:rsidRPr="00AD24FA" w:rsidRDefault="008F2D63"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Zakres podmiotowy</w:t>
            </w:r>
          </w:p>
          <w:p w:rsidR="008F2D63" w:rsidRPr="00AD24FA" w:rsidRDefault="008F2D63" w:rsidP="00AD24FA">
            <w:pPr>
              <w:shd w:val="clear" w:color="auto" w:fill="FFFFFF"/>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Niniejszą dyrektywę stosuje się do osób dokonujących zgłoszenia, pracujących w sektorze prywatnym lub publicznym, które uzyskały informacje na temat naruszeń w kontekście związanym z pracą, w tym co najmniej do:</w:t>
            </w:r>
          </w:p>
          <w:p w:rsidR="00A81DF1" w:rsidRPr="00AD24FA" w:rsidRDefault="00A81DF1" w:rsidP="00AD24FA">
            <w:pPr>
              <w:pStyle w:val="Akapitzlist"/>
              <w:numPr>
                <w:ilvl w:val="0"/>
                <w:numId w:val="2"/>
              </w:numPr>
              <w:shd w:val="clear" w:color="auto" w:fill="FFFFFF"/>
              <w:spacing w:before="120" w:line="240" w:lineRule="auto"/>
              <w:jc w:val="both"/>
              <w:rPr>
                <w:rFonts w:cstheme="minorHAnsi"/>
                <w:color w:val="444444"/>
                <w:sz w:val="24"/>
                <w:szCs w:val="24"/>
                <w:lang w:eastAsia="pl-PL"/>
              </w:rPr>
            </w:pPr>
            <w:r w:rsidRPr="00AD24FA">
              <w:rPr>
                <w:rFonts w:cstheme="minorHAnsi"/>
                <w:color w:val="444444"/>
                <w:sz w:val="24"/>
                <w:szCs w:val="24"/>
                <w:lang w:eastAsia="pl-PL"/>
              </w:rPr>
              <w:t xml:space="preserve"> </w:t>
            </w:r>
            <w:r w:rsidRPr="00AD24FA">
              <w:rPr>
                <w:rFonts w:cstheme="minorHAnsi"/>
                <w:color w:val="444444"/>
                <w:sz w:val="24"/>
                <w:szCs w:val="24"/>
              </w:rPr>
              <w:t>osób posiadających status pracownika w rozumieniu art. 45 ust. 1 TFUE, w tym urzędników służby cywilnej;</w:t>
            </w:r>
          </w:p>
          <w:p w:rsidR="00A81DF1" w:rsidRPr="00AD24FA" w:rsidRDefault="00A81DF1" w:rsidP="00AD24FA">
            <w:pPr>
              <w:pStyle w:val="Akapitzlist"/>
              <w:numPr>
                <w:ilvl w:val="0"/>
                <w:numId w:val="2"/>
              </w:numPr>
              <w:shd w:val="clear" w:color="auto" w:fill="FFFFFF"/>
              <w:spacing w:before="120" w:line="240" w:lineRule="auto"/>
              <w:jc w:val="both"/>
              <w:rPr>
                <w:rFonts w:cstheme="minorHAnsi"/>
                <w:color w:val="444444"/>
                <w:sz w:val="24"/>
                <w:szCs w:val="24"/>
                <w:lang w:eastAsia="pl-PL"/>
              </w:rPr>
            </w:pPr>
            <w:r w:rsidRPr="00AD24FA">
              <w:rPr>
                <w:rFonts w:cstheme="minorHAnsi"/>
                <w:color w:val="444444"/>
                <w:sz w:val="24"/>
                <w:szCs w:val="24"/>
                <w:shd w:val="clear" w:color="auto" w:fill="FFFFFF"/>
              </w:rPr>
              <w:t>osób posiadających status osób prowadzących działalność na własny rachunek w rozumieniu art. 49 TFUE;</w:t>
            </w:r>
          </w:p>
          <w:p w:rsidR="00A81DF1" w:rsidRPr="00AD24FA" w:rsidRDefault="00A81DF1" w:rsidP="00AD24FA">
            <w:pPr>
              <w:pStyle w:val="Akapitzlist"/>
              <w:numPr>
                <w:ilvl w:val="0"/>
                <w:numId w:val="2"/>
              </w:numPr>
              <w:shd w:val="clear" w:color="auto" w:fill="FFFFFF"/>
              <w:spacing w:before="120" w:line="240" w:lineRule="auto"/>
              <w:jc w:val="both"/>
              <w:rPr>
                <w:rFonts w:cstheme="minorHAnsi"/>
                <w:color w:val="444444"/>
                <w:sz w:val="24"/>
                <w:szCs w:val="24"/>
                <w:lang w:eastAsia="pl-PL"/>
              </w:rPr>
            </w:pPr>
            <w:r w:rsidRPr="00AD24FA">
              <w:rPr>
                <w:rFonts w:cstheme="minorHAnsi"/>
                <w:color w:val="444444"/>
                <w:sz w:val="24"/>
                <w:szCs w:val="24"/>
                <w:shd w:val="clear" w:color="auto" w:fill="FFFFFF"/>
              </w:rPr>
              <w:t xml:space="preserve">akcjonariuszy lub wspólników oraz osób będących członkami organu administrującego, zarządzającego lub nadzorczego przedsiębiorstwa, w tym członków </w:t>
            </w:r>
            <w:proofErr w:type="spellStart"/>
            <w:r w:rsidRPr="00AD24FA">
              <w:rPr>
                <w:rFonts w:cstheme="minorHAnsi"/>
                <w:color w:val="444444"/>
                <w:sz w:val="24"/>
                <w:szCs w:val="24"/>
                <w:shd w:val="clear" w:color="auto" w:fill="FFFFFF"/>
              </w:rPr>
              <w:t>niewykonawczych</w:t>
            </w:r>
            <w:proofErr w:type="spellEnd"/>
            <w:r w:rsidRPr="00AD24FA">
              <w:rPr>
                <w:rFonts w:cstheme="minorHAnsi"/>
                <w:color w:val="444444"/>
                <w:sz w:val="24"/>
                <w:szCs w:val="24"/>
                <w:shd w:val="clear" w:color="auto" w:fill="FFFFFF"/>
              </w:rPr>
              <w:t>, a także wolontariuszy i stażystów, bez względu na to czy otrzymują oni wynagrodzenie;</w:t>
            </w:r>
          </w:p>
          <w:p w:rsidR="00A81DF1" w:rsidRPr="00AD24FA" w:rsidRDefault="00A81DF1" w:rsidP="00AD24FA">
            <w:pPr>
              <w:pStyle w:val="Akapitzlist"/>
              <w:numPr>
                <w:ilvl w:val="0"/>
                <w:numId w:val="2"/>
              </w:numPr>
              <w:shd w:val="clear" w:color="auto" w:fill="FFFFFF"/>
              <w:spacing w:before="120" w:line="240" w:lineRule="auto"/>
              <w:jc w:val="both"/>
              <w:rPr>
                <w:rFonts w:cstheme="minorHAnsi"/>
                <w:color w:val="444444"/>
                <w:sz w:val="24"/>
                <w:szCs w:val="24"/>
                <w:lang w:eastAsia="pl-PL"/>
              </w:rPr>
            </w:pPr>
            <w:r w:rsidRPr="00AD24FA">
              <w:rPr>
                <w:rFonts w:cstheme="minorHAnsi"/>
                <w:color w:val="444444"/>
                <w:sz w:val="24"/>
                <w:szCs w:val="24"/>
                <w:shd w:val="clear" w:color="auto" w:fill="FFFFFF"/>
              </w:rPr>
              <w:t>osób pracujących pod nadzorem i kierownictwem wykonawców, podwykonawców i dostawców.</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2.   Niniejszą dyrektywę stosuje się również do osób dokonujących zgłoszenia w przypadku, gdy dokonują one zgłoszenia lub ujawnienia publicznego informacji na temat naruszeń, jakie uzyskały w ramach stosunku pracy, który już ustał.</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3.   Niniejszą dyrektywę stosuje się również do osób dokonujących zgłoszenia, których stosunek pracy ma zostać dopiero nawiązany, w przypadku gdy informacje na temat </w:t>
            </w:r>
            <w:r w:rsidRPr="00AD24FA">
              <w:rPr>
                <w:rFonts w:asciiTheme="minorHAnsi" w:hAnsiTheme="minorHAnsi" w:cstheme="minorHAnsi"/>
                <w:color w:val="444444"/>
                <w:szCs w:val="24"/>
                <w:lang w:eastAsia="pl-PL"/>
              </w:rPr>
              <w:lastRenderedPageBreak/>
              <w:t>naruszeń uzyskano w trakcie procesu rekrutacji lub innych negocjacji poprzedzających zawarcie umowy.</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4.   W stosownych przypadkach środki ochrony osób dokonujących zgłoszenia określone w rozdziale VI stosuje się również do:</w:t>
            </w:r>
          </w:p>
          <w:tbl>
            <w:tblPr>
              <w:tblW w:w="5000" w:type="pct"/>
              <w:tblLayout w:type="fixed"/>
              <w:tblCellMar>
                <w:left w:w="0" w:type="dxa"/>
                <w:right w:w="0" w:type="dxa"/>
              </w:tblCellMar>
              <w:tblLook w:val="04A0" w:firstRow="1" w:lastRow="0" w:firstColumn="1" w:lastColumn="0" w:noHBand="0" w:noVBand="1"/>
            </w:tblPr>
            <w:tblGrid>
              <w:gridCol w:w="244"/>
              <w:gridCol w:w="5493"/>
            </w:tblGrid>
            <w:tr w:rsidR="008F2D63" w:rsidRPr="00AD24FA" w:rsidTr="008F2D63">
              <w:tc>
                <w:tcPr>
                  <w:tcW w:w="389"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01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osób pomagających w dokonaniu zgłoszenia,</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8F2D63" w:rsidRPr="00AD24FA" w:rsidRDefault="00A81DF1"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osób trzecich powiązanych z osobami</w:t>
                  </w: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dokonującymi zgłoszenia, które mogą doświadczyć działań odwetowych w kontekście związanym z pracą, takich jak współpracownicy lub krewni osób dokonujących zgłoszenia; oraz</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c)</w:t>
                  </w:r>
                </w:p>
              </w:tc>
              <w:tc>
                <w:tcPr>
                  <w:tcW w:w="9219" w:type="dxa"/>
                  <w:shd w:val="clear" w:color="auto" w:fill="auto"/>
                  <w:hideMark/>
                </w:tcPr>
                <w:p w:rsidR="008F2D63" w:rsidRPr="00AD24FA" w:rsidRDefault="00A81DF1"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podmiotów prawnych, które stanowią własność osoby dokonującej zgłoszenia, dla których taka osoba pracuje lub które są w inny sposób z nią powiązane w kontekście związanym z pracą.</w:t>
                  </w:r>
                </w:p>
              </w:tc>
            </w:tr>
          </w:tbl>
          <w:p w:rsidR="0093071D" w:rsidRPr="00AD24FA" w:rsidRDefault="0093071D" w:rsidP="00AD24FA">
            <w:pPr>
              <w:spacing w:line="240" w:lineRule="auto"/>
              <w:rPr>
                <w:rFonts w:asciiTheme="minorHAnsi" w:hAnsiTheme="minorHAnsi" w:cstheme="minorHAnsi"/>
                <w:szCs w:val="24"/>
              </w:rPr>
            </w:pPr>
          </w:p>
        </w:tc>
        <w:tc>
          <w:tcPr>
            <w:tcW w:w="851" w:type="dxa"/>
          </w:tcPr>
          <w:p w:rsidR="0093071D" w:rsidRPr="00AD24FA" w:rsidRDefault="00A81DF1"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93071D" w:rsidRPr="00AD24FA" w:rsidRDefault="00A81DF1"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t xml:space="preserve">Art. </w:t>
            </w:r>
            <w:r w:rsidR="00D93DD2">
              <w:rPr>
                <w:rFonts w:asciiTheme="minorHAnsi" w:hAnsiTheme="minorHAnsi" w:cstheme="minorHAnsi"/>
                <w:b/>
                <w:szCs w:val="24"/>
              </w:rPr>
              <w:t>4</w:t>
            </w:r>
            <w:r w:rsidR="0051704D">
              <w:rPr>
                <w:rFonts w:asciiTheme="minorHAnsi" w:hAnsiTheme="minorHAnsi" w:cstheme="minorHAnsi"/>
                <w:b/>
                <w:szCs w:val="24"/>
              </w:rPr>
              <w:t xml:space="preserve">, </w:t>
            </w:r>
            <w:r w:rsidR="00B12994">
              <w:rPr>
                <w:rFonts w:asciiTheme="minorHAnsi" w:hAnsiTheme="minorHAnsi" w:cstheme="minorHAnsi"/>
                <w:b/>
                <w:szCs w:val="24"/>
              </w:rPr>
              <w:t xml:space="preserve"> art. 1</w:t>
            </w:r>
            <w:r w:rsidR="00D93DD2">
              <w:rPr>
                <w:rFonts w:asciiTheme="minorHAnsi" w:hAnsiTheme="minorHAnsi" w:cstheme="minorHAnsi"/>
                <w:b/>
                <w:szCs w:val="24"/>
              </w:rPr>
              <w:t xml:space="preserve">2, art. 16 </w:t>
            </w:r>
            <w:r w:rsidR="0051704D">
              <w:rPr>
                <w:rFonts w:asciiTheme="minorHAnsi" w:hAnsiTheme="minorHAnsi" w:cstheme="minorHAnsi"/>
                <w:b/>
                <w:szCs w:val="24"/>
              </w:rPr>
              <w:t xml:space="preserve">oraz art. </w:t>
            </w:r>
            <w:r w:rsidR="00D93DD2">
              <w:rPr>
                <w:rFonts w:asciiTheme="minorHAnsi" w:hAnsiTheme="minorHAnsi" w:cstheme="minorHAnsi"/>
                <w:b/>
                <w:szCs w:val="24"/>
              </w:rPr>
              <w:t>25</w:t>
            </w:r>
          </w:p>
        </w:tc>
        <w:tc>
          <w:tcPr>
            <w:tcW w:w="3827" w:type="dxa"/>
          </w:tcPr>
          <w:p w:rsidR="00D93DD2" w:rsidRPr="00A57398" w:rsidRDefault="00D93DD2" w:rsidP="00FC7B58">
            <w:pPr>
              <w:pStyle w:val="ARTartustawynprozporzdzenia"/>
              <w:ind w:firstLine="0"/>
            </w:pPr>
            <w:r w:rsidRPr="00243D8E">
              <w:rPr>
                <w:rStyle w:val="Ppogrubienie"/>
              </w:rPr>
              <w:t xml:space="preserve">Art. </w:t>
            </w:r>
            <w:r>
              <w:rPr>
                <w:rStyle w:val="Ppogrubienie"/>
              </w:rPr>
              <w:t>4</w:t>
            </w:r>
            <w:r w:rsidRPr="00243D8E">
              <w:rPr>
                <w:rStyle w:val="Ppogrubienie"/>
              </w:rPr>
              <w:t>.</w:t>
            </w:r>
            <w:r>
              <w:t xml:space="preserve"> </w:t>
            </w:r>
            <w:r w:rsidRPr="00A57398">
              <w:t xml:space="preserve">Ustawę stosuje się do osoby fizycznej, która zgłasza lub ujawnia publicznie informację o naruszeniu </w:t>
            </w:r>
            <w:r>
              <w:t xml:space="preserve">prawa </w:t>
            </w:r>
            <w:r w:rsidRPr="00A57398">
              <w:t xml:space="preserve">uzyskaną w </w:t>
            </w:r>
            <w:r>
              <w:t>kontekście związanym z pracą</w:t>
            </w:r>
            <w:r w:rsidRPr="00A57398">
              <w:t>, w tym</w:t>
            </w:r>
            <w:r>
              <w:t xml:space="preserve"> do</w:t>
            </w:r>
            <w:r w:rsidRPr="00A57398">
              <w:t>:</w:t>
            </w:r>
          </w:p>
          <w:p w:rsidR="00D93DD2" w:rsidRPr="00A57398" w:rsidRDefault="00D93DD2" w:rsidP="00D93DD2">
            <w:pPr>
              <w:pStyle w:val="PKTpunkt"/>
            </w:pPr>
            <w:r>
              <w:t>1)</w:t>
            </w:r>
            <w:r>
              <w:tab/>
            </w:r>
            <w:r w:rsidRPr="00A57398">
              <w:t>pracownika, także w przypadku, gdy stosunek pracy już ustał,</w:t>
            </w:r>
          </w:p>
          <w:p w:rsidR="00D93DD2" w:rsidRDefault="00D93DD2" w:rsidP="00D93DD2">
            <w:pPr>
              <w:pStyle w:val="PKTpunkt"/>
            </w:pPr>
            <w:r>
              <w:t>2)</w:t>
            </w:r>
            <w:r>
              <w:tab/>
            </w:r>
            <w:r w:rsidRPr="00A57398">
              <w:t xml:space="preserve">osoby ubiegającą się o zatrudnienie, która uzyskała informację o naruszeniu </w:t>
            </w:r>
            <w:r>
              <w:t xml:space="preserve">prawa </w:t>
            </w:r>
            <w:r w:rsidRPr="00A57398">
              <w:t xml:space="preserve">w procesie rekrutacji lub negocjacji poprzedzających zawarcie umowy, </w:t>
            </w:r>
          </w:p>
          <w:p w:rsidR="00D93DD2" w:rsidRPr="00A57398" w:rsidRDefault="00D93DD2" w:rsidP="00D93DD2">
            <w:pPr>
              <w:pStyle w:val="PKTpunkt"/>
            </w:pPr>
            <w:r>
              <w:t>3)</w:t>
            </w:r>
            <w:r>
              <w:tab/>
              <w:t>osoby świadczącej pracę na innej podstawie niż stosunek pracy, w tym na podstawie umowy cywilnoprawnej,</w:t>
            </w:r>
          </w:p>
          <w:p w:rsidR="00D93DD2" w:rsidRPr="00A57398" w:rsidRDefault="00D93DD2" w:rsidP="00D93DD2">
            <w:pPr>
              <w:pStyle w:val="PKTpunkt"/>
            </w:pPr>
            <w:r>
              <w:t>4)</w:t>
            </w:r>
            <w:r>
              <w:tab/>
            </w:r>
            <w:r w:rsidRPr="00A57398">
              <w:t>przedsiębiorcy,</w:t>
            </w:r>
          </w:p>
          <w:p w:rsidR="00D93DD2" w:rsidRPr="00A57398" w:rsidRDefault="00D93DD2" w:rsidP="00D93DD2">
            <w:pPr>
              <w:pStyle w:val="PKTpunkt"/>
            </w:pPr>
            <w:r>
              <w:t>5)</w:t>
            </w:r>
            <w:r>
              <w:tab/>
            </w:r>
            <w:r w:rsidRPr="00A57398">
              <w:t xml:space="preserve">akcjonariusza lub wspólnika, </w:t>
            </w:r>
          </w:p>
          <w:p w:rsidR="00D93DD2" w:rsidRPr="00A57398" w:rsidRDefault="00D93DD2" w:rsidP="00D93DD2">
            <w:pPr>
              <w:pStyle w:val="PKTpunkt"/>
            </w:pPr>
            <w:r>
              <w:t>6)</w:t>
            </w:r>
            <w:r>
              <w:tab/>
            </w:r>
            <w:r w:rsidRPr="00A57398">
              <w:t xml:space="preserve">członka organu osoby prawnej, </w:t>
            </w:r>
          </w:p>
          <w:p w:rsidR="00D93DD2" w:rsidRPr="00A57398" w:rsidRDefault="00D93DD2" w:rsidP="00D93DD2">
            <w:pPr>
              <w:pStyle w:val="PKTpunkt"/>
            </w:pPr>
            <w:r>
              <w:lastRenderedPageBreak/>
              <w:t>7)</w:t>
            </w:r>
            <w:r>
              <w:tab/>
            </w:r>
            <w:r w:rsidRPr="00A57398">
              <w:t xml:space="preserve">osoby </w:t>
            </w:r>
            <w:r>
              <w:t>świadczącej pracę</w:t>
            </w:r>
            <w:r w:rsidRPr="00A57398">
              <w:t xml:space="preserve"> pod </w:t>
            </w:r>
            <w:r>
              <w:t xml:space="preserve">nadzorem i kierownictwem </w:t>
            </w:r>
            <w:r w:rsidRPr="00A57398">
              <w:t>wykonawcy, podwykonawcy lub dostawcy,</w:t>
            </w:r>
            <w:r>
              <w:t xml:space="preserve"> w tym na podstawie umowy cywilnoprawnej,</w:t>
            </w:r>
          </w:p>
          <w:p w:rsidR="00D93DD2" w:rsidRPr="00A57398" w:rsidRDefault="00D93DD2" w:rsidP="00D93DD2">
            <w:pPr>
              <w:pStyle w:val="PKTpunkt"/>
            </w:pPr>
            <w:r>
              <w:t>8)</w:t>
            </w:r>
            <w:r>
              <w:tab/>
            </w:r>
            <w:r w:rsidRPr="00A57398">
              <w:t xml:space="preserve">stażysty, </w:t>
            </w:r>
          </w:p>
          <w:p w:rsidR="00D93DD2" w:rsidRPr="00A57398" w:rsidRDefault="00D93DD2" w:rsidP="00D93DD2">
            <w:pPr>
              <w:pStyle w:val="PKTpunkt"/>
            </w:pPr>
            <w:r>
              <w:t>9)</w:t>
            </w:r>
            <w:r>
              <w:tab/>
            </w:r>
            <w:r w:rsidRPr="00A57398">
              <w:t xml:space="preserve">wolontariusza </w:t>
            </w:r>
          </w:p>
          <w:p w:rsidR="00D93DD2" w:rsidRPr="000833FB" w:rsidRDefault="00D93DD2" w:rsidP="00D93DD2">
            <w:pPr>
              <w:pStyle w:val="CZWSPPKTczwsplnapunktw"/>
            </w:pPr>
            <w:r w:rsidRPr="000833FB">
              <w:t xml:space="preserve">– zwanych dalej </w:t>
            </w:r>
            <w:r>
              <w:t>"</w:t>
            </w:r>
            <w:r w:rsidRPr="000833FB">
              <w:t>zgłaszającymi</w:t>
            </w:r>
            <w:r>
              <w:t>"</w:t>
            </w:r>
            <w:r w:rsidRPr="000833FB">
              <w:t>.</w:t>
            </w:r>
          </w:p>
          <w:p w:rsidR="00D93DD2" w:rsidRDefault="00D93DD2" w:rsidP="00FC7B58">
            <w:pPr>
              <w:pStyle w:val="ARTartustawynprozporzdzenia"/>
              <w:ind w:firstLine="0"/>
            </w:pPr>
            <w:r w:rsidRPr="00816253">
              <w:rPr>
                <w:rStyle w:val="Ppogrubienie"/>
              </w:rPr>
              <w:t>Art. 1</w:t>
            </w:r>
            <w:r>
              <w:rPr>
                <w:rStyle w:val="Ppogrubienie"/>
              </w:rPr>
              <w:t>2</w:t>
            </w:r>
            <w:r w:rsidRPr="00816253">
              <w:rPr>
                <w:rStyle w:val="Ppogrubienie"/>
              </w:rPr>
              <w:t>.</w:t>
            </w:r>
            <w:r w:rsidRPr="005A5F5D">
              <w:t xml:space="preserve"> Przepis art. </w:t>
            </w:r>
            <w:r>
              <w:t>11</w:t>
            </w:r>
            <w:r w:rsidRPr="005A5F5D">
              <w:t xml:space="preserve"> stosuje się do osoby pomagającej w dokonaniu zgłoszenia oraz osoby powiązanej ze zgłaszającym, jeżeli również pozostają w stosunku pracy z pracodawcą zatrudniającym zgłaszającego.</w:t>
            </w:r>
          </w:p>
          <w:p w:rsidR="00D93DD2" w:rsidRPr="00A57398" w:rsidRDefault="00D93DD2" w:rsidP="00FC7B58">
            <w:pPr>
              <w:pStyle w:val="ARTartustawynprozporzdzenia"/>
              <w:ind w:firstLine="0"/>
            </w:pPr>
            <w:r w:rsidRPr="00CD170F">
              <w:rPr>
                <w:rStyle w:val="Ppogrubienie"/>
              </w:rPr>
              <w:t xml:space="preserve">Art. </w:t>
            </w:r>
            <w:r>
              <w:rPr>
                <w:rStyle w:val="Ppogrubienie"/>
              </w:rPr>
              <w:t>16</w:t>
            </w:r>
            <w:r w:rsidRPr="00CD170F">
              <w:rPr>
                <w:rStyle w:val="Ppogrubienie"/>
              </w:rPr>
              <w:t>.</w:t>
            </w:r>
            <w:r w:rsidRPr="00A57398">
              <w:t xml:space="preserve"> Przepisy art. </w:t>
            </w:r>
            <w:r>
              <w:t>14</w:t>
            </w:r>
            <w:r w:rsidRPr="00A57398">
              <w:t xml:space="preserve"> i art. </w:t>
            </w:r>
            <w:r>
              <w:t>15</w:t>
            </w:r>
            <w:r w:rsidRPr="00A57398">
              <w:t xml:space="preserve"> stosuje się odpowiednio do osoby pomagającej w dokonaniu zgłoszenia oraz osoby powiązanej ze zgłaszającym, jeżeli pozostają w </w:t>
            </w:r>
            <w:r w:rsidRPr="00A57398">
              <w:lastRenderedPageBreak/>
              <w:t xml:space="preserve">stosunku pracy lub na innej podstawie świadczą pracę na rzecz drugiej strony. </w:t>
            </w:r>
          </w:p>
          <w:p w:rsidR="00D93DD2" w:rsidRPr="00A57398" w:rsidRDefault="00D93DD2" w:rsidP="00D93DD2">
            <w:pPr>
              <w:pStyle w:val="ARTartustawynprozporzdzenia"/>
              <w:ind w:firstLine="0"/>
            </w:pPr>
            <w:r w:rsidRPr="00391239">
              <w:rPr>
                <w:rStyle w:val="Ppogrubienie"/>
              </w:rPr>
              <w:t xml:space="preserve">Art. </w:t>
            </w:r>
            <w:r>
              <w:rPr>
                <w:rStyle w:val="Ppogrubienie"/>
              </w:rPr>
              <w:t>25</w:t>
            </w:r>
            <w:r w:rsidRPr="00391239">
              <w:rPr>
                <w:rStyle w:val="Ppogrubienie"/>
              </w:rPr>
              <w:t>.</w:t>
            </w:r>
            <w:r w:rsidRPr="00A57398">
              <w:t xml:space="preserve"> Przepisy </w:t>
            </w:r>
            <w:r>
              <w:t xml:space="preserve">art. 10-24 </w:t>
            </w:r>
            <w:r w:rsidRPr="00A57398">
              <w:t xml:space="preserve"> stosuje się odpowiednio wobec osoby pomagającej w dokonaniu zgłoszenia, osoby powiązanej ze zgłaszającym oraz osoby prawnej lub innej jednostki organizacyjnej powiązanej ze zgłaszającym, w szczególności stanowiącej własność lub zatrudniającej zgłaszającego.</w:t>
            </w:r>
          </w:p>
          <w:p w:rsidR="0093071D" w:rsidRPr="00AD24FA" w:rsidRDefault="0093071D" w:rsidP="00D93DD2">
            <w:pPr>
              <w:pStyle w:val="ARTartustawynprozporzdzenia"/>
              <w:spacing w:line="240" w:lineRule="auto"/>
              <w:ind w:firstLine="0"/>
              <w:rPr>
                <w:rFonts w:asciiTheme="minorHAnsi" w:hAnsiTheme="minorHAnsi" w:cstheme="minorHAnsi"/>
                <w:szCs w:val="24"/>
              </w:rPr>
            </w:pPr>
          </w:p>
        </w:tc>
        <w:tc>
          <w:tcPr>
            <w:tcW w:w="3119" w:type="dxa"/>
          </w:tcPr>
          <w:p w:rsidR="001F3B4D" w:rsidRPr="00AD24FA" w:rsidRDefault="001F3B4D" w:rsidP="00AD24FA">
            <w:pPr>
              <w:spacing w:line="240" w:lineRule="auto"/>
              <w:rPr>
                <w:rFonts w:asciiTheme="minorHAnsi" w:hAnsiTheme="minorHAnsi" w:cstheme="minorHAnsi"/>
                <w:szCs w:val="24"/>
              </w:rPr>
            </w:pPr>
          </w:p>
        </w:tc>
      </w:tr>
      <w:tr w:rsidR="0093071D" w:rsidRPr="00E52299" w:rsidTr="00E7625F">
        <w:tc>
          <w:tcPr>
            <w:tcW w:w="988" w:type="dxa"/>
          </w:tcPr>
          <w:p w:rsidR="0093071D"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5</w:t>
            </w:r>
          </w:p>
        </w:tc>
        <w:tc>
          <w:tcPr>
            <w:tcW w:w="5953" w:type="dxa"/>
          </w:tcPr>
          <w:p w:rsidR="008F2D63" w:rsidRPr="00AD24FA" w:rsidRDefault="008F2D63"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Definicje</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Do celów niniejszej dyrektywy stosuje się następujące definicje:</w:t>
            </w:r>
          </w:p>
          <w:p w:rsidR="00A81DF1" w:rsidRPr="00DE5F0B" w:rsidRDefault="00DE5F0B" w:rsidP="00DE5F0B">
            <w:pPr>
              <w:pStyle w:val="Akapitzlist"/>
              <w:numPr>
                <w:ilvl w:val="0"/>
                <w:numId w:val="6"/>
              </w:numPr>
              <w:shd w:val="clear" w:color="auto" w:fill="FFFFFF"/>
              <w:spacing w:before="120" w:line="240" w:lineRule="auto"/>
              <w:jc w:val="both"/>
              <w:rPr>
                <w:rFonts w:cstheme="minorHAnsi"/>
                <w:color w:val="444444"/>
                <w:szCs w:val="24"/>
                <w:lang w:eastAsia="pl-PL"/>
              </w:rPr>
            </w:pPr>
            <w:r>
              <w:rPr>
                <w:rFonts w:cstheme="minorHAnsi"/>
                <w:color w:val="444444"/>
                <w:szCs w:val="24"/>
                <w:lang w:eastAsia="pl-PL"/>
              </w:rPr>
              <w:t>„naruszenia” oznacza działania lub zaniechania, które:</w:t>
            </w:r>
          </w:p>
          <w:p w:rsidR="00A81DF1" w:rsidRPr="00AD24FA" w:rsidRDefault="00A81DF1" w:rsidP="00AD24FA">
            <w:pPr>
              <w:pStyle w:val="Akapitzlist"/>
              <w:numPr>
                <w:ilvl w:val="0"/>
                <w:numId w:val="3"/>
              </w:numPr>
              <w:shd w:val="clear" w:color="auto" w:fill="FFFFFF"/>
              <w:spacing w:before="120" w:line="240" w:lineRule="auto"/>
              <w:jc w:val="both"/>
              <w:rPr>
                <w:rFonts w:cstheme="minorHAnsi"/>
                <w:color w:val="444444"/>
                <w:sz w:val="24"/>
                <w:szCs w:val="24"/>
                <w:lang w:eastAsia="pl-PL"/>
              </w:rPr>
            </w:pPr>
            <w:r w:rsidRPr="00AD24FA">
              <w:rPr>
                <w:rFonts w:cstheme="minorHAnsi"/>
                <w:color w:val="444444"/>
                <w:sz w:val="24"/>
                <w:szCs w:val="24"/>
                <w:lang w:eastAsia="pl-PL"/>
              </w:rPr>
              <w:t xml:space="preserve"> </w:t>
            </w:r>
            <w:r w:rsidRPr="00AD24FA">
              <w:rPr>
                <w:rFonts w:cstheme="minorHAnsi"/>
                <w:color w:val="444444"/>
                <w:sz w:val="24"/>
                <w:szCs w:val="24"/>
              </w:rPr>
              <w:t>są niezgodne z prawem i dotyczą aktów Unii i dziedzin objętych zakresem przedmiotowym, o którym mowa w art. 2; lub</w:t>
            </w:r>
          </w:p>
          <w:p w:rsidR="00A81DF1" w:rsidRPr="00AD24FA" w:rsidRDefault="00A81DF1" w:rsidP="00AD24FA">
            <w:pPr>
              <w:pStyle w:val="Akapitzlist"/>
              <w:numPr>
                <w:ilvl w:val="0"/>
                <w:numId w:val="3"/>
              </w:numPr>
              <w:shd w:val="clear" w:color="auto" w:fill="FFFFFF"/>
              <w:spacing w:before="120" w:line="240" w:lineRule="auto"/>
              <w:jc w:val="both"/>
              <w:rPr>
                <w:rFonts w:cstheme="minorHAnsi"/>
                <w:color w:val="444444"/>
                <w:sz w:val="24"/>
                <w:szCs w:val="24"/>
                <w:lang w:eastAsia="pl-PL"/>
              </w:rPr>
            </w:pPr>
            <w:r w:rsidRPr="00AD24FA">
              <w:rPr>
                <w:rFonts w:cstheme="minorHAnsi"/>
                <w:color w:val="444444"/>
                <w:sz w:val="24"/>
                <w:szCs w:val="24"/>
                <w:shd w:val="clear" w:color="auto" w:fill="FFFFFF"/>
              </w:rPr>
              <w:t xml:space="preserve">są sprzeczne z przedmiotem lub celem przepisów zawartych w aktach Unii i dziedzinach </w:t>
            </w:r>
            <w:r w:rsidRPr="00AD24FA">
              <w:rPr>
                <w:rFonts w:cstheme="minorHAnsi"/>
                <w:color w:val="444444"/>
                <w:sz w:val="24"/>
                <w:szCs w:val="24"/>
                <w:shd w:val="clear" w:color="auto" w:fill="FFFFFF"/>
              </w:rPr>
              <w:lastRenderedPageBreak/>
              <w:t>objętych zakresem przedmiotowym, o którym mowa w art. 2;</w:t>
            </w:r>
          </w:p>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2</w:t>
                  </w:r>
                  <w:r w:rsidR="00DE5F0B">
                    <w:rPr>
                      <w:rFonts w:asciiTheme="minorHAnsi" w:hAnsiTheme="minorHAnsi" w:cstheme="minorHAnsi"/>
                      <w:color w:val="444444"/>
                      <w:szCs w:val="24"/>
                      <w:lang w:eastAsia="pl-PL"/>
                    </w:rPr>
                    <w:t xml:space="preserve">  </w:t>
                  </w:r>
                </w:p>
              </w:tc>
              <w:tc>
                <w:tcPr>
                  <w:tcW w:w="9181"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 xml:space="preserve"> ) </w:t>
                  </w:r>
                  <w:r w:rsidR="008F2D63" w:rsidRPr="00AD24FA">
                    <w:rPr>
                      <w:rFonts w:asciiTheme="minorHAnsi" w:hAnsiTheme="minorHAnsi" w:cstheme="minorHAnsi"/>
                      <w:color w:val="444444"/>
                      <w:szCs w:val="24"/>
                      <w:lang w:eastAsia="pl-PL"/>
                    </w:rPr>
                    <w:t>„informacje na temat naruszeń” oznaczają informacje, w tym uzasadnione podejrzenie, dotyczące zaistniałych lub potencjalnych naruszeń, do których doszło lub prawdopodobnie dojdzie w organizacji, w której osoba zgłaszająca pracuje lub pracowała, lub w innej organizacji, z którą osoba dokonująca zgłoszenia utrzymuje lub utrzymywała kontakt w kontekście wykonywanej pracy, lub dotyczące prób ukrycia takich naruszeń;</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3</w:t>
                  </w:r>
                  <w:r w:rsidR="00DE5F0B">
                    <w:rPr>
                      <w:rFonts w:asciiTheme="minorHAnsi" w:hAnsiTheme="minorHAnsi" w:cstheme="minorHAnsi"/>
                      <w:color w:val="444444"/>
                      <w:szCs w:val="24"/>
                      <w:lang w:eastAsia="pl-PL"/>
                    </w:rPr>
                    <w:t xml:space="preserve"> </w:t>
                  </w:r>
                </w:p>
              </w:tc>
              <w:tc>
                <w:tcPr>
                  <w:tcW w:w="9181"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w:t>
                  </w:r>
                  <w:r w:rsidR="008F2D63" w:rsidRPr="00AD24FA">
                    <w:rPr>
                      <w:rFonts w:asciiTheme="minorHAnsi" w:hAnsiTheme="minorHAnsi" w:cstheme="minorHAnsi"/>
                      <w:color w:val="444444"/>
                      <w:szCs w:val="24"/>
                      <w:lang w:eastAsia="pl-PL"/>
                    </w:rPr>
                    <w:t>„zgłoszenie” lub „zgłaszać” oznacza ustne lub pisemne przekazanie informacji na temat naruszeń;</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4</w:t>
                  </w:r>
                </w:p>
              </w:tc>
              <w:tc>
                <w:tcPr>
                  <w:tcW w:w="9181"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w:t>
                  </w:r>
                  <w:r w:rsidR="008F2D63" w:rsidRPr="00AD24FA">
                    <w:rPr>
                      <w:rFonts w:asciiTheme="minorHAnsi" w:hAnsiTheme="minorHAnsi" w:cstheme="minorHAnsi"/>
                      <w:color w:val="444444"/>
                      <w:szCs w:val="24"/>
                      <w:lang w:eastAsia="pl-PL"/>
                    </w:rPr>
                    <w:t>„zgłoszenie wewnętrzne” oznacza ustne lub pisemne przekazanie informacji na temat naruszeń w obrębie podmiotu prywatnego w sektorze prywatnym lub publicznym;</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5</w:t>
                  </w:r>
                </w:p>
              </w:tc>
              <w:tc>
                <w:tcPr>
                  <w:tcW w:w="9181"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„zgłoszenie zewnętrzne” oznacza ustne lub pisemne przekazanie informacji na temat naruszeń właściwym organom;</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6</w:t>
                  </w:r>
                </w:p>
              </w:tc>
              <w:tc>
                <w:tcPr>
                  <w:tcW w:w="9181"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 xml:space="preserve"> ) </w:t>
                  </w:r>
                  <w:r w:rsidR="008F2D63" w:rsidRPr="00AD24FA">
                    <w:rPr>
                      <w:rFonts w:asciiTheme="minorHAnsi" w:hAnsiTheme="minorHAnsi" w:cstheme="minorHAnsi"/>
                      <w:color w:val="444444"/>
                      <w:szCs w:val="24"/>
                      <w:lang w:eastAsia="pl-PL"/>
                    </w:rPr>
                    <w:t>„ujawnienie publiczne” lub „ujawniać publicznie” oznacza podanie do wiadomości publicznej informacji na temat naruszeń;</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7</w:t>
                  </w:r>
                  <w:r w:rsidR="00DE5F0B">
                    <w:rPr>
                      <w:rFonts w:asciiTheme="minorHAnsi" w:hAnsiTheme="minorHAnsi" w:cstheme="minorHAnsi"/>
                      <w:color w:val="444444"/>
                      <w:szCs w:val="24"/>
                      <w:lang w:eastAsia="pl-PL"/>
                    </w:rPr>
                    <w:t xml:space="preserve"> </w:t>
                  </w:r>
                </w:p>
                <w:p w:rsidR="00DE5F0B"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p>
              </w:tc>
              <w:tc>
                <w:tcPr>
                  <w:tcW w:w="9181"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„osoba dokonująca zgłoszenia” oznacza osobę fizyczną, która zgłasza lub ujawnia publicznie informacje na temat naruszeń uzyskane w kontekście związanym z wykonywaną przez nią pracą;</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8</w:t>
                  </w:r>
                  <w:r w:rsidR="00DE5F0B">
                    <w:rPr>
                      <w:rFonts w:asciiTheme="minorHAnsi" w:hAnsiTheme="minorHAnsi" w:cstheme="minorHAnsi"/>
                      <w:color w:val="444444"/>
                      <w:szCs w:val="24"/>
                      <w:lang w:eastAsia="pl-PL"/>
                    </w:rPr>
                    <w:t xml:space="preserve"> </w:t>
                  </w:r>
                </w:p>
              </w:tc>
              <w:tc>
                <w:tcPr>
                  <w:tcW w:w="9181"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w:t>
                  </w:r>
                  <w:r w:rsidR="008F2D63" w:rsidRPr="00AD24FA">
                    <w:rPr>
                      <w:rFonts w:asciiTheme="minorHAnsi" w:hAnsiTheme="minorHAnsi" w:cstheme="minorHAnsi"/>
                      <w:color w:val="444444"/>
                      <w:szCs w:val="24"/>
                      <w:lang w:eastAsia="pl-PL"/>
                    </w:rPr>
                    <w:t>„osoba pomagająca w dokonaniu zgłoszenia” oznacza osobę fizyczną, która pomaga osobie dokonującej zgłoszenia w tej czynności w kontekście związanym z pracą i której pomoc nie powinna zostać ujawniona;</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9</w:t>
                  </w:r>
                </w:p>
              </w:tc>
              <w:tc>
                <w:tcPr>
                  <w:tcW w:w="9181"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w:t>
                  </w:r>
                  <w:r w:rsidR="008F2D63" w:rsidRPr="00AD24FA">
                    <w:rPr>
                      <w:rFonts w:asciiTheme="minorHAnsi" w:hAnsiTheme="minorHAnsi" w:cstheme="minorHAnsi"/>
                      <w:color w:val="444444"/>
                      <w:szCs w:val="24"/>
                      <w:lang w:eastAsia="pl-PL"/>
                    </w:rPr>
                    <w:t>„kontekst związany z pracą” oznacza obecne lub przyszłe działania związane z pracą w sektorze publicznym lub prywatnym, w ramach których – niezależnie od charakteru tych działań – osoby uzyskują informacje na temat naruszeń i mogłyby doświadczyć działań odwetowych w przypadku zgłoszenia takich informacji;</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349" w:type="dxa"/>
              <w:shd w:val="clear" w:color="auto" w:fill="FFFFFF"/>
              <w:tblLayout w:type="fixed"/>
              <w:tblCellMar>
                <w:left w:w="0" w:type="dxa"/>
                <w:right w:w="0" w:type="dxa"/>
              </w:tblCellMar>
              <w:tblLook w:val="04A0" w:firstRow="1" w:lastRow="0" w:firstColumn="1" w:lastColumn="0" w:noHBand="0" w:noVBand="1"/>
            </w:tblPr>
            <w:tblGrid>
              <w:gridCol w:w="493"/>
              <w:gridCol w:w="4856"/>
            </w:tblGrid>
            <w:tr w:rsidR="008F2D63" w:rsidRPr="00AD24FA" w:rsidTr="00A81DF1">
              <w:tc>
                <w:tcPr>
                  <w:tcW w:w="493" w:type="dxa"/>
                  <w:shd w:val="clear" w:color="auto" w:fill="FFFFFF"/>
                  <w:hideMark/>
                </w:tcPr>
                <w:p w:rsidR="008F2D63" w:rsidRPr="00AD24FA" w:rsidRDefault="00A81DF1" w:rsidP="00AD24FA">
                  <w:pPr>
                    <w:widowControl/>
                    <w:autoSpaceDE/>
                    <w:autoSpaceDN/>
                    <w:adjustRightInd/>
                    <w:spacing w:before="120" w:line="240" w:lineRule="auto"/>
                    <w:ind w:right="-298"/>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w:t>
                  </w:r>
                  <w:r w:rsidR="008F2D63" w:rsidRPr="00AD24FA">
                    <w:rPr>
                      <w:rFonts w:asciiTheme="minorHAnsi" w:hAnsiTheme="minorHAnsi" w:cstheme="minorHAnsi"/>
                      <w:color w:val="444444"/>
                      <w:szCs w:val="24"/>
                      <w:lang w:eastAsia="pl-PL"/>
                    </w:rPr>
                    <w:t>0)</w:t>
                  </w:r>
                </w:p>
              </w:tc>
              <w:tc>
                <w:tcPr>
                  <w:tcW w:w="4856" w:type="dxa"/>
                  <w:shd w:val="clear" w:color="auto" w:fill="FFFFFF"/>
                  <w:hideMark/>
                </w:tcPr>
                <w:p w:rsidR="008F2D63" w:rsidRPr="00AD24FA" w:rsidRDefault="008F2D63" w:rsidP="00AD24FA">
                  <w:pPr>
                    <w:widowControl/>
                    <w:autoSpaceDE/>
                    <w:autoSpaceDN/>
                    <w:adjustRightInd/>
                    <w:spacing w:before="120" w:line="240" w:lineRule="auto"/>
                    <w:ind w:left="298" w:hanging="567"/>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„osoba, której dotyczy zgłoszenie” oznacza osobę</w:t>
                  </w:r>
                  <w:r w:rsidR="00DE5F0B">
                    <w:rPr>
                      <w:rFonts w:asciiTheme="minorHAnsi" w:hAnsiTheme="minorHAnsi" w:cstheme="minorHAnsi"/>
                      <w:color w:val="444444"/>
                      <w:szCs w:val="24"/>
                      <w:lang w:eastAsia="pl-PL"/>
                    </w:rPr>
                    <w:t xml:space="preserve"> </w:t>
                  </w:r>
                  <w:r w:rsidRPr="00AD24FA">
                    <w:rPr>
                      <w:rFonts w:asciiTheme="minorHAnsi" w:hAnsiTheme="minorHAnsi" w:cstheme="minorHAnsi"/>
                      <w:color w:val="444444"/>
                      <w:szCs w:val="24"/>
                      <w:lang w:eastAsia="pl-PL"/>
                    </w:rPr>
                    <w:t>fizyczną lub prawną, która jest wskazana w zgłoszeniu lub ujawnieniu publicznym jako osoba, która dopuściła się naruszenia lub z którą osoba ta jest powiązana;</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27"/>
              <w:gridCol w:w="5510"/>
            </w:tblGrid>
            <w:tr w:rsidR="008F2D63" w:rsidRPr="00AD24FA" w:rsidTr="008F2D63">
              <w:tc>
                <w:tcPr>
                  <w:tcW w:w="360" w:type="dxa"/>
                  <w:shd w:val="clear" w:color="auto" w:fill="FFFFFF"/>
                  <w:hideMark/>
                </w:tcPr>
                <w:p w:rsidR="008F2D63" w:rsidRPr="00AD24FA" w:rsidRDefault="008F2D63" w:rsidP="00AD24FA">
                  <w:pPr>
                    <w:widowControl/>
                    <w:autoSpaceDE/>
                    <w:autoSpaceDN/>
                    <w:adjustRightInd/>
                    <w:spacing w:before="120" w:line="240" w:lineRule="auto"/>
                    <w:ind w:right="-156"/>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11)</w:t>
                  </w:r>
                </w:p>
              </w:tc>
              <w:tc>
                <w:tcPr>
                  <w:tcW w:w="9046"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„działania odwetowe” oznaczają bezpośrednie lub pośrednie działanie lub zaniechanie mające miejsce w kontekście związanym z pracą, które jest spowodowane zgłoszeniem wewnętrznym lub zewnętrznym lub ujawnieniem publicznym i które wyrządza lub może wyrządzić nieuzasadnioną szkodę dla osoby dokonującej zgłoszenia;</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207" w:type="dxa"/>
              <w:shd w:val="clear" w:color="auto" w:fill="FFFFFF"/>
              <w:tblLayout w:type="fixed"/>
              <w:tblCellMar>
                <w:left w:w="0" w:type="dxa"/>
                <w:right w:w="0" w:type="dxa"/>
              </w:tblCellMar>
              <w:tblLook w:val="04A0" w:firstRow="1" w:lastRow="0" w:firstColumn="1" w:lastColumn="0" w:noHBand="0" w:noVBand="1"/>
            </w:tblPr>
            <w:tblGrid>
              <w:gridCol w:w="351"/>
              <w:gridCol w:w="4856"/>
            </w:tblGrid>
            <w:tr w:rsidR="008F2D63" w:rsidRPr="00AD24FA" w:rsidTr="00A81DF1">
              <w:tc>
                <w:tcPr>
                  <w:tcW w:w="351" w:type="dxa"/>
                  <w:shd w:val="clear" w:color="auto" w:fill="FFFFFF"/>
                  <w:hideMark/>
                </w:tcPr>
                <w:p w:rsidR="008F2D63" w:rsidRPr="00AD24FA" w:rsidRDefault="00A81DF1"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12</w:t>
                  </w:r>
                  <w:r w:rsidR="008F2D63" w:rsidRPr="00AD24FA">
                    <w:rPr>
                      <w:rFonts w:asciiTheme="minorHAnsi" w:hAnsiTheme="minorHAnsi" w:cstheme="minorHAnsi"/>
                      <w:color w:val="444444"/>
                      <w:szCs w:val="24"/>
                      <w:lang w:eastAsia="pl-PL"/>
                    </w:rPr>
                    <w:t>)</w:t>
                  </w:r>
                </w:p>
              </w:tc>
              <w:tc>
                <w:tcPr>
                  <w:tcW w:w="4856" w:type="dxa"/>
                  <w:shd w:val="clear" w:color="auto" w:fill="FFFFFF"/>
                  <w:hideMark/>
                </w:tcPr>
                <w:p w:rsidR="008F2D63" w:rsidRPr="00AD24FA" w:rsidRDefault="008F2D63" w:rsidP="00AD24FA">
                  <w:pPr>
                    <w:widowControl/>
                    <w:autoSpaceDE/>
                    <w:autoSpaceDN/>
                    <w:adjustRightInd/>
                    <w:spacing w:before="120" w:line="240" w:lineRule="auto"/>
                    <w:ind w:left="15" w:hanging="15"/>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„działania następcze” oznaczają działania podjęte przez odbiorcę zgłoszenia lub właściwy organ w celu oceny prawdziwości zarzutów zawartych w zgłoszeniu oraz, w stosownych przypadkach, w celu </w:t>
                  </w:r>
                  <w:bookmarkStart w:id="0" w:name="_GoBack"/>
                  <w:r w:rsidRPr="00AD24FA">
                    <w:rPr>
                      <w:rFonts w:asciiTheme="minorHAnsi" w:hAnsiTheme="minorHAnsi" w:cstheme="minorHAnsi"/>
                      <w:color w:val="444444"/>
                      <w:szCs w:val="24"/>
                      <w:lang w:eastAsia="pl-PL"/>
                    </w:rPr>
                    <w:t>zaradz</w:t>
                  </w:r>
                  <w:bookmarkEnd w:id="0"/>
                  <w:r w:rsidRPr="00AD24FA">
                    <w:rPr>
                      <w:rFonts w:asciiTheme="minorHAnsi" w:hAnsiTheme="minorHAnsi" w:cstheme="minorHAnsi"/>
                      <w:color w:val="444444"/>
                      <w:szCs w:val="24"/>
                      <w:lang w:eastAsia="pl-PL"/>
                    </w:rPr>
                    <w:t xml:space="preserve">enia naruszeniu będącemu przedmiotem zgłoszenia, w tym poprzez takie </w:t>
                  </w:r>
                  <w:r w:rsidRPr="00AD24FA">
                    <w:rPr>
                      <w:rFonts w:asciiTheme="minorHAnsi" w:hAnsiTheme="minorHAnsi" w:cstheme="minorHAnsi"/>
                      <w:color w:val="444444"/>
                      <w:szCs w:val="24"/>
                      <w:lang w:eastAsia="pl-PL"/>
                    </w:rPr>
                    <w:lastRenderedPageBreak/>
                    <w:t>działania, jak dochodzenie wewnętrzne, postępowanie wyjaśniające, wniesienie oskarżenia, działania podejmowane w celu odzyskania środków lub zamknięcie procedury;</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27"/>
              <w:gridCol w:w="5510"/>
            </w:tblGrid>
            <w:tr w:rsidR="008F2D63" w:rsidRPr="00AD24FA" w:rsidTr="008F2D63">
              <w:tc>
                <w:tcPr>
                  <w:tcW w:w="360" w:type="dxa"/>
                  <w:shd w:val="clear" w:color="auto" w:fill="FFFFFF"/>
                  <w:hideMark/>
                </w:tcPr>
                <w:p w:rsidR="008F2D63" w:rsidRPr="00AD24FA" w:rsidRDefault="008F2D63" w:rsidP="00AD24FA">
                  <w:pPr>
                    <w:widowControl/>
                    <w:autoSpaceDE/>
                    <w:autoSpaceDN/>
                    <w:adjustRightInd/>
                    <w:spacing w:before="120" w:line="240" w:lineRule="auto"/>
                    <w:ind w:right="-298"/>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13)</w:t>
                  </w:r>
                </w:p>
              </w:tc>
              <w:tc>
                <w:tcPr>
                  <w:tcW w:w="9046" w:type="dxa"/>
                  <w:shd w:val="clear" w:color="auto" w:fill="FFFFFF"/>
                  <w:hideMark/>
                </w:tcPr>
                <w:p w:rsidR="008F2D63" w:rsidRPr="00AD24FA" w:rsidRDefault="00DE5F0B" w:rsidP="00AD24FA">
                  <w:pPr>
                    <w:widowControl/>
                    <w:autoSpaceDE/>
                    <w:autoSpaceDN/>
                    <w:adjustRightInd/>
                    <w:spacing w:before="120" w:line="240" w:lineRule="auto"/>
                    <w:jc w:val="both"/>
                    <w:rPr>
                      <w:rFonts w:asciiTheme="minorHAnsi" w:hAnsiTheme="minorHAnsi" w:cstheme="minorHAnsi"/>
                      <w:color w:val="444444"/>
                      <w:szCs w:val="24"/>
                      <w:lang w:eastAsia="pl-PL"/>
                    </w:rPr>
                  </w:pPr>
                  <w:r>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„informacje zwrotne” oznaczają przekazanie osobie dokonującej zgłoszenia informacji na temat planowanych lub podjętych działań następczych i na temat powodów tych działań następczych;</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491" w:type="dxa"/>
              <w:shd w:val="clear" w:color="auto" w:fill="FFFFFF"/>
              <w:tblLayout w:type="fixed"/>
              <w:tblCellMar>
                <w:left w:w="0" w:type="dxa"/>
                <w:right w:w="0" w:type="dxa"/>
              </w:tblCellMar>
              <w:tblLook w:val="04A0" w:firstRow="1" w:lastRow="0" w:firstColumn="1" w:lastColumn="0" w:noHBand="0" w:noVBand="1"/>
            </w:tblPr>
            <w:tblGrid>
              <w:gridCol w:w="635"/>
              <w:gridCol w:w="4856"/>
            </w:tblGrid>
            <w:tr w:rsidR="008F2D63" w:rsidRPr="00AD24FA" w:rsidTr="00A60998">
              <w:tc>
                <w:tcPr>
                  <w:tcW w:w="635" w:type="dxa"/>
                  <w:shd w:val="clear" w:color="auto" w:fill="FFFFFF"/>
                  <w:hideMark/>
                </w:tcPr>
                <w:p w:rsidR="008F2D63" w:rsidRPr="00AD24FA" w:rsidRDefault="008F2D63" w:rsidP="00AD24FA">
                  <w:pPr>
                    <w:widowControl/>
                    <w:autoSpaceDE/>
                    <w:autoSpaceDN/>
                    <w:adjustRightInd/>
                    <w:spacing w:before="120" w:line="240" w:lineRule="auto"/>
                    <w:ind w:right="-440"/>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14)</w:t>
                  </w:r>
                </w:p>
              </w:tc>
              <w:tc>
                <w:tcPr>
                  <w:tcW w:w="4856"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„właściwy organ” oznacza organ krajowy wyznaczony do przyjmowania zgłoszeń zgodnie z rozdziałem III i przekazywania informacji zwrotnych osobie dokonującej zgłoszenia lub wyznaczony do wykonywania obowiązków przewidzianych w niniejszej dyrektywie, w szczególności w odniesieniu do działań następczych.</w:t>
                  </w:r>
                </w:p>
              </w:tc>
            </w:tr>
          </w:tbl>
          <w:p w:rsidR="0093071D" w:rsidRPr="00AD24FA" w:rsidRDefault="0093071D" w:rsidP="00AD24FA">
            <w:pPr>
              <w:spacing w:line="240" w:lineRule="auto"/>
              <w:rPr>
                <w:rFonts w:asciiTheme="minorHAnsi" w:hAnsiTheme="minorHAnsi" w:cstheme="minorHAnsi"/>
                <w:szCs w:val="24"/>
              </w:rPr>
            </w:pPr>
          </w:p>
        </w:tc>
        <w:tc>
          <w:tcPr>
            <w:tcW w:w="851" w:type="dxa"/>
          </w:tcPr>
          <w:p w:rsidR="0093071D" w:rsidRPr="00AD24FA" w:rsidRDefault="00A60998"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1F3B4D" w:rsidRPr="00AD24FA" w:rsidRDefault="00A60998"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t>Art.  2</w:t>
            </w:r>
            <w:r w:rsidR="007D70DB">
              <w:rPr>
                <w:rFonts w:asciiTheme="minorHAnsi" w:hAnsiTheme="minorHAnsi" w:cstheme="minorHAnsi"/>
                <w:b/>
                <w:szCs w:val="24"/>
              </w:rPr>
              <w:t xml:space="preserve">, </w:t>
            </w:r>
            <w:r w:rsidR="00E47A57">
              <w:rPr>
                <w:rFonts w:asciiTheme="minorHAnsi" w:hAnsiTheme="minorHAnsi" w:cstheme="minorHAnsi"/>
                <w:b/>
                <w:szCs w:val="24"/>
              </w:rPr>
              <w:t xml:space="preserve"> art. 3 </w:t>
            </w:r>
          </w:p>
        </w:tc>
        <w:tc>
          <w:tcPr>
            <w:tcW w:w="3827" w:type="dxa"/>
          </w:tcPr>
          <w:p w:rsidR="00950D7A" w:rsidRPr="00A57398" w:rsidRDefault="00950D7A" w:rsidP="00285408">
            <w:pPr>
              <w:pStyle w:val="ARTartustawynprozporzdzenia"/>
              <w:ind w:firstLine="0"/>
            </w:pPr>
            <w:r w:rsidRPr="003036FD">
              <w:rPr>
                <w:rStyle w:val="Ppogrubienie"/>
              </w:rPr>
              <w:t>Art. 2.</w:t>
            </w:r>
            <w:r w:rsidRPr="00A57398">
              <w:t xml:space="preserve"> Ilekroć w ustawie jest mowa o: </w:t>
            </w:r>
          </w:p>
          <w:p w:rsidR="00950D7A" w:rsidRDefault="00950D7A" w:rsidP="00950D7A">
            <w:pPr>
              <w:pStyle w:val="PKTpunkt"/>
            </w:pPr>
            <w:r>
              <w:t>1)</w:t>
            </w:r>
            <w:r>
              <w:tab/>
            </w:r>
            <w:r w:rsidRPr="00A57398">
              <w:t xml:space="preserve">działaniu następczym – należy przez to rozumieć działanie podjęte przez pracodawcę lub organ publiczny w celu oceny prawdziwości zarzutów zawartych w zgłoszeniu oraz, w </w:t>
            </w:r>
            <w:r w:rsidRPr="00A57398">
              <w:lastRenderedPageBreak/>
              <w:t xml:space="preserve">stosownych przypadkach, w celu </w:t>
            </w:r>
            <w:r w:rsidR="00466B81">
              <w:t>przeciwdziałania</w:t>
            </w:r>
            <w:r w:rsidRPr="00A57398">
              <w:t xml:space="preserve"> naruszeniu </w:t>
            </w:r>
            <w:r>
              <w:t xml:space="preserve">prawa </w:t>
            </w:r>
            <w:r w:rsidRPr="00A57398">
              <w:t>będącemu przedmiotem zgłoszenia, w tym przez dochodzenie wewnętrzne, postępowanie wyjaśniające, wniesienie oskarżenia, działanie podjęte w celu odzyskania środków</w:t>
            </w:r>
            <w:r>
              <w:t xml:space="preserve"> finansowych</w:t>
            </w:r>
            <w:r w:rsidRPr="00A57398">
              <w:t xml:space="preserve"> lub zamknięcie procedury</w:t>
            </w:r>
            <w:r>
              <w:t xml:space="preserve"> przyjmowania i weryfikacji zgłoszeń; </w:t>
            </w:r>
          </w:p>
          <w:p w:rsidR="00950D7A" w:rsidRDefault="00950D7A" w:rsidP="00950D7A">
            <w:pPr>
              <w:pStyle w:val="PKTpunkt"/>
            </w:pPr>
            <w:r>
              <w:t>2)</w:t>
            </w:r>
            <w:r>
              <w:tab/>
              <w:t xml:space="preserve">działaniu odwetowym - należy przez to rozumieć </w:t>
            </w:r>
            <w:r w:rsidRPr="00544D33">
              <w:t>bezpośrednie lub pośrednie działani</w:t>
            </w:r>
            <w:r>
              <w:t>e</w:t>
            </w:r>
            <w:r w:rsidRPr="00544D33">
              <w:t xml:space="preserve"> lub zaniechani</w:t>
            </w:r>
            <w:r>
              <w:t>e</w:t>
            </w:r>
            <w:r w:rsidRPr="00544D33">
              <w:t xml:space="preserve">, które </w:t>
            </w:r>
            <w:r>
              <w:t>jest</w:t>
            </w:r>
            <w:r w:rsidRPr="00544D33">
              <w:t xml:space="preserve"> spowodowane zgłoszeniem lub ujawnieniem publicznym i które narusza lub mo</w:t>
            </w:r>
            <w:r>
              <w:t>że</w:t>
            </w:r>
            <w:r w:rsidRPr="00544D33">
              <w:t xml:space="preserve"> naruszyć prawa zgłaszającego lub </w:t>
            </w:r>
            <w:r w:rsidRPr="00544D33">
              <w:lastRenderedPageBreak/>
              <w:t>wyrządza lub mo</w:t>
            </w:r>
            <w:r>
              <w:t>że</w:t>
            </w:r>
            <w:r w:rsidRPr="00544D33">
              <w:t xml:space="preserve"> wyrządzić szkodę zgłaszającemu</w:t>
            </w:r>
            <w:r>
              <w:t>;</w:t>
            </w:r>
          </w:p>
          <w:p w:rsidR="00950D7A" w:rsidRPr="00A57398" w:rsidRDefault="00950D7A" w:rsidP="00950D7A">
            <w:pPr>
              <w:pStyle w:val="PKTpunkt"/>
            </w:pPr>
            <w:r>
              <w:t>3)</w:t>
            </w:r>
            <w:r>
              <w:tab/>
            </w:r>
            <w:r w:rsidRPr="00A57398">
              <w:t xml:space="preserve">informacji </w:t>
            </w:r>
            <w:r w:rsidRPr="003036FD">
              <w:t xml:space="preserve">o naruszeniu prawa </w:t>
            </w:r>
            <w:r>
              <w:t>- należy przez to rozumieć</w:t>
            </w:r>
            <w:r w:rsidRPr="003036FD">
              <w:t xml:space="preserve"> informacj</w:t>
            </w:r>
            <w:r>
              <w:t>ę</w:t>
            </w:r>
            <w:r w:rsidRPr="003036FD">
              <w:t>, w tym uzasadnione podejrzenie, dotycząc</w:t>
            </w:r>
            <w:r>
              <w:t>e</w:t>
            </w:r>
            <w:r w:rsidRPr="003036FD">
              <w:t xml:space="preserve"> zaistniałego lub potencjalnego naruszenia prawa, do którego doszło lub prawdopodobnie dojdzie w organizacji, w której zgłaszający pracuje lub pracował, lub w innej organizacji, z którą zgłaszający utrzymuje lub utrzymywał kontakt w kontekście związanym z pracą, lub dotycząca próby ukrycia takiego naruszenia prawa</w:t>
            </w:r>
            <w:r>
              <w:t>;</w:t>
            </w:r>
          </w:p>
          <w:p w:rsidR="00950D7A" w:rsidRDefault="00950D7A" w:rsidP="00950D7A">
            <w:pPr>
              <w:pStyle w:val="PKTpunkt"/>
            </w:pPr>
            <w:r>
              <w:t>4)</w:t>
            </w:r>
            <w:r>
              <w:tab/>
            </w:r>
            <w:r w:rsidRPr="00A57398">
              <w:t xml:space="preserve">informacji zwrotnej – należy przez to rozumieć przekazanie zgłaszającemu informacji na </w:t>
            </w:r>
            <w:r w:rsidRPr="00A57398">
              <w:lastRenderedPageBreak/>
              <w:t>temat planowanych lub podjętych działań następczych i powodów takich działań;</w:t>
            </w:r>
          </w:p>
          <w:p w:rsidR="00950D7A" w:rsidRPr="00A57398" w:rsidRDefault="00950D7A" w:rsidP="00950D7A">
            <w:pPr>
              <w:pStyle w:val="PKTpunkt"/>
            </w:pPr>
            <w:r>
              <w:t>5)</w:t>
            </w:r>
            <w:r>
              <w:tab/>
            </w:r>
            <w:r w:rsidRPr="001C4CE7">
              <w:t>kontek</w:t>
            </w:r>
            <w:r>
              <w:t>ście</w:t>
            </w:r>
            <w:r w:rsidRPr="001C4CE7">
              <w:t xml:space="preserve"> związany</w:t>
            </w:r>
            <w:r>
              <w:t>m</w:t>
            </w:r>
            <w:r w:rsidRPr="001C4CE7">
              <w:t xml:space="preserve"> z pracą</w:t>
            </w:r>
            <w:r>
              <w:t xml:space="preserve"> - należy przez to </w:t>
            </w:r>
            <w:r w:rsidRPr="001C4CE7">
              <w:t>rozumieć całokształt okoliczności związanych ze stosunkiem pracy lub innym stosunkiem prawnym stanowiącym podstawę świadczenia pracy, w ramach których uzyskano informację o naruszeniu prawa</w:t>
            </w:r>
            <w:r>
              <w:t>;</w:t>
            </w:r>
            <w:r w:rsidRPr="001C4CE7">
              <w:t xml:space="preserve">   </w:t>
            </w:r>
          </w:p>
          <w:p w:rsidR="00950D7A" w:rsidRPr="00A57398" w:rsidRDefault="00950D7A" w:rsidP="00950D7A">
            <w:pPr>
              <w:pStyle w:val="PKTpunkt"/>
            </w:pPr>
            <w:r>
              <w:t>6)</w:t>
            </w:r>
            <w:r>
              <w:tab/>
            </w:r>
            <w:r w:rsidRPr="00C14105">
              <w:t xml:space="preserve">organie centralnym – należy przez to rozumieć organ administracji publicznej właściwy w sprawach udzielania informacji i wsparcia w sprawach zgłaszania i publicznego ujawniania naruszeń prawa oraz przyjmowania zgłoszeń </w:t>
            </w:r>
            <w:r w:rsidRPr="00C14105">
              <w:lastRenderedPageBreak/>
              <w:t>zewnętrznych o naruszeniach prawa w dziedzinach objętych ustawą, ich wstępnej weryfikacji i przekazania organom właściwym celem podjęcia działań następczych;</w:t>
            </w:r>
          </w:p>
          <w:p w:rsidR="00950D7A" w:rsidRPr="00A57398" w:rsidRDefault="00950D7A" w:rsidP="00950D7A">
            <w:pPr>
              <w:pStyle w:val="PKTpunkt"/>
            </w:pPr>
            <w:r>
              <w:t>7)</w:t>
            </w:r>
            <w:r>
              <w:tab/>
            </w:r>
            <w:r w:rsidRPr="00A57398">
              <w:t>organie publicznym – należy przez to rozumieć organ</w:t>
            </w:r>
            <w:r>
              <w:t xml:space="preserve"> administracji publicznej</w:t>
            </w:r>
            <w:r w:rsidRPr="00A57398">
              <w:t xml:space="preserve">, który ustanowił procedurę przyjmowania zgłoszeń zewnętrznych o naruszeniach </w:t>
            </w:r>
            <w:r>
              <w:t xml:space="preserve">prawa </w:t>
            </w:r>
            <w:r w:rsidRPr="00A57398">
              <w:t>w dziedzinie należąc</w:t>
            </w:r>
            <w:r>
              <w:t>ej</w:t>
            </w:r>
            <w:r w:rsidRPr="00A57398">
              <w:t xml:space="preserve"> d</w:t>
            </w:r>
            <w:r>
              <w:t>o zakresu działania tego organu;</w:t>
            </w:r>
            <w:r w:rsidRPr="00A57398">
              <w:t xml:space="preserve"> </w:t>
            </w:r>
          </w:p>
          <w:p w:rsidR="00950D7A" w:rsidRDefault="00950D7A" w:rsidP="00950D7A">
            <w:pPr>
              <w:pStyle w:val="PKTpunkt"/>
            </w:pPr>
            <w:r>
              <w:t>8)</w:t>
            </w:r>
            <w:r>
              <w:tab/>
            </w:r>
            <w:r w:rsidRPr="00A57398">
              <w:t>osobie, której dotyczy zgłoszenie – należy przez to rozumieć osobę fizyczną</w:t>
            </w:r>
            <w:r>
              <w:t>,</w:t>
            </w:r>
            <w:r w:rsidRPr="00A57398">
              <w:t xml:space="preserve"> osobę prawną</w:t>
            </w:r>
            <w:r>
              <w:t xml:space="preserve"> lub jednostkę organizacyjną niebędącą osobą prawną, której ustawa przyznaje zdolność prawną</w:t>
            </w:r>
            <w:r w:rsidRPr="00A57398">
              <w:t>, wskazan</w:t>
            </w:r>
            <w:r>
              <w:t>ą</w:t>
            </w:r>
            <w:r w:rsidRPr="00A57398">
              <w:t xml:space="preserve"> w </w:t>
            </w:r>
            <w:r w:rsidRPr="00A57398">
              <w:lastRenderedPageBreak/>
              <w:t>zgłoszeniu lub ujawnieniu publicznym jako osoba, która dopuściła się naruszenia</w:t>
            </w:r>
            <w:r>
              <w:t xml:space="preserve"> prawa</w:t>
            </w:r>
            <w:r w:rsidRPr="00A57398">
              <w:t xml:space="preserve"> lub z którą osoba ta jest powiązana;</w:t>
            </w:r>
          </w:p>
          <w:p w:rsidR="00950D7A" w:rsidRPr="00A57398" w:rsidRDefault="00950D7A" w:rsidP="00950D7A">
            <w:pPr>
              <w:pStyle w:val="PKTpunkt"/>
            </w:pPr>
            <w:r>
              <w:t>9)</w:t>
            </w:r>
            <w:r>
              <w:tab/>
            </w:r>
            <w:r w:rsidRPr="00A57398">
              <w:t>osobie pomagającej w dokonaniu zgłoszenia – należy przez to rozumieć osobę fizyczną, która pomaga zgłaszającemu w zgłoszeniu lub ujawnieniu publicznym w kontekście związanym z pracą;</w:t>
            </w:r>
          </w:p>
          <w:p w:rsidR="00950D7A" w:rsidRPr="00A57398" w:rsidRDefault="00950D7A" w:rsidP="00950D7A">
            <w:pPr>
              <w:pStyle w:val="PKTpunkt"/>
            </w:pPr>
            <w:r>
              <w:t>10)</w:t>
            </w:r>
            <w:r>
              <w:tab/>
            </w:r>
            <w:r w:rsidRPr="00A57398">
              <w:t>osobie powiązanej ze zgłaszającym – należy przez to rozumieć osobę fizyczną, która może doświadczyć działań odwetowych, w tym współpracownika lub członka rodziny zgłaszającego;</w:t>
            </w:r>
          </w:p>
          <w:p w:rsidR="00950D7A" w:rsidRPr="00A57398" w:rsidRDefault="00950D7A" w:rsidP="00950D7A">
            <w:pPr>
              <w:pStyle w:val="PKTpunkt"/>
            </w:pPr>
            <w:r>
              <w:t>11)</w:t>
            </w:r>
            <w:r>
              <w:tab/>
            </w:r>
            <w:r w:rsidRPr="00A57398">
              <w:t xml:space="preserve">pracodawcy – należy przez to rozumieć pracodawcę w </w:t>
            </w:r>
            <w:r w:rsidRPr="00A57398">
              <w:lastRenderedPageBreak/>
              <w:t xml:space="preserve">rozumieniu art. 3 ustawy z dnia 26 czerwca 1974 r. </w:t>
            </w:r>
            <w:r>
              <w:t xml:space="preserve">– </w:t>
            </w:r>
            <w:r w:rsidRPr="00A57398">
              <w:t>Kodeks pracy (Dz. U. z 2020 r. poz. 1320</w:t>
            </w:r>
            <w:r w:rsidRPr="000833FB">
              <w:t xml:space="preserve"> </w:t>
            </w:r>
            <w:r>
              <w:t xml:space="preserve">oraz </w:t>
            </w:r>
            <w:r w:rsidRPr="000833FB">
              <w:t>z 2021 r. poz. 1162</w:t>
            </w:r>
            <w:r w:rsidRPr="00A57398">
              <w:t>);</w:t>
            </w:r>
          </w:p>
          <w:p w:rsidR="00950D7A" w:rsidRDefault="00950D7A" w:rsidP="00950D7A">
            <w:pPr>
              <w:pStyle w:val="PKTpunkt"/>
            </w:pPr>
            <w:r>
              <w:t>12)</w:t>
            </w:r>
            <w:r>
              <w:tab/>
            </w:r>
            <w:r w:rsidRPr="00A57398">
              <w:t xml:space="preserve">pracowniku – należy przez to rozumieć pracownika w rozumieniu art. 2 ustawy z dnia 26 czerwca 1974 r. </w:t>
            </w:r>
            <w:r>
              <w:t xml:space="preserve">– </w:t>
            </w:r>
            <w:r w:rsidRPr="00A57398">
              <w:t xml:space="preserve">Kodeks pracy oraz pracownika tymczasowego w rozumieniu art. 2 pkt </w:t>
            </w:r>
            <w:r>
              <w:t>2</w:t>
            </w:r>
            <w:r w:rsidRPr="00A57398">
              <w:t xml:space="preserve"> ustawy z dnia z dnia 9 lipca 2003 r. o zatrudnianiu pracowników tymczasowych (Dz. U. z 2019 r. poz. 1563);</w:t>
            </w:r>
          </w:p>
          <w:p w:rsidR="00950D7A" w:rsidRPr="00A57398" w:rsidRDefault="00950D7A" w:rsidP="00950D7A">
            <w:pPr>
              <w:pStyle w:val="PKTpunkt"/>
            </w:pPr>
            <w:r>
              <w:t>13)</w:t>
            </w:r>
            <w:r>
              <w:tab/>
            </w:r>
            <w:r w:rsidRPr="00A57398">
              <w:t>ujawnieniu publicznym – należy przez to rozumieć podanie informacji o naruszeniu</w:t>
            </w:r>
            <w:r>
              <w:t xml:space="preserve"> prawa</w:t>
            </w:r>
            <w:r w:rsidRPr="00A57398">
              <w:t xml:space="preserve"> do wiadomości publicznej;</w:t>
            </w:r>
          </w:p>
          <w:p w:rsidR="00950D7A" w:rsidRPr="00A57398" w:rsidRDefault="00950D7A" w:rsidP="00950D7A">
            <w:pPr>
              <w:pStyle w:val="PKTpunkt"/>
            </w:pPr>
            <w:r>
              <w:t>14)</w:t>
            </w:r>
            <w:r>
              <w:tab/>
            </w:r>
            <w:r w:rsidRPr="00A57398">
              <w:t xml:space="preserve">zgłoszeniu – należy przez to rozumieć zgłoszenie </w:t>
            </w:r>
            <w:r w:rsidRPr="00A57398">
              <w:lastRenderedPageBreak/>
              <w:t>wewnętrzne</w:t>
            </w:r>
            <w:r>
              <w:t xml:space="preserve"> lub</w:t>
            </w:r>
            <w:r w:rsidRPr="00A57398">
              <w:t xml:space="preserve"> zgłoszenie zewnętrzne</w:t>
            </w:r>
            <w:r>
              <w:t>;</w:t>
            </w:r>
            <w:r w:rsidRPr="00A57398">
              <w:t xml:space="preserve"> </w:t>
            </w:r>
          </w:p>
          <w:p w:rsidR="00950D7A" w:rsidRPr="00A57398" w:rsidRDefault="00950D7A" w:rsidP="00950D7A">
            <w:pPr>
              <w:pStyle w:val="PKTpunkt"/>
            </w:pPr>
            <w:r>
              <w:t>15)</w:t>
            </w:r>
            <w:r>
              <w:tab/>
            </w:r>
            <w:r w:rsidRPr="00A57398">
              <w:t>zgłoszeniu wewnętrznym – należy przez to rozumieć przekazanie informacji o naruszeniu</w:t>
            </w:r>
            <w:r>
              <w:t xml:space="preserve"> prawa</w:t>
            </w:r>
            <w:r w:rsidRPr="00A57398">
              <w:t xml:space="preserve"> pracodawcy;</w:t>
            </w:r>
          </w:p>
          <w:p w:rsidR="00950D7A" w:rsidRPr="00A57398" w:rsidRDefault="00950D7A" w:rsidP="00950D7A">
            <w:pPr>
              <w:pStyle w:val="PKTpunkt"/>
            </w:pPr>
            <w:r>
              <w:t>16)</w:t>
            </w:r>
            <w:r>
              <w:tab/>
            </w:r>
            <w:r w:rsidRPr="00A57398">
              <w:t xml:space="preserve">zgłoszeniu zewnętrznym – należy przez to rozumieć przekazanie informacji o naruszeniu </w:t>
            </w:r>
            <w:r>
              <w:t xml:space="preserve">prawa </w:t>
            </w:r>
            <w:r w:rsidRPr="00A57398">
              <w:t>organowi publicznemu</w:t>
            </w:r>
            <w:r>
              <w:t xml:space="preserve"> lub organowi centralnemu.</w:t>
            </w:r>
          </w:p>
          <w:p w:rsidR="007D70DB" w:rsidRDefault="007D70DB" w:rsidP="00CE0632">
            <w:pPr>
              <w:pStyle w:val="ARTartustawynprozporzdzenia"/>
              <w:ind w:firstLine="0"/>
            </w:pPr>
            <w:r w:rsidRPr="00243D8E">
              <w:rPr>
                <w:rStyle w:val="Ppogrubienie"/>
              </w:rPr>
              <w:t>Art. 3.</w:t>
            </w:r>
            <w:r>
              <w:t xml:space="preserve"> 1. </w:t>
            </w:r>
            <w:r w:rsidRPr="0090628B">
              <w:t>Naruszeniem prawa jest działanie lub zaniechanie niezgodne z prawem lub mające na celu obejście prawa dotyczące:</w:t>
            </w:r>
          </w:p>
          <w:p w:rsidR="007D70DB" w:rsidRPr="00A57398" w:rsidRDefault="007D70DB" w:rsidP="007D70DB">
            <w:pPr>
              <w:pStyle w:val="PKTpunkt"/>
            </w:pPr>
            <w:r>
              <w:t>1)</w:t>
            </w:r>
            <w:r>
              <w:tab/>
            </w:r>
            <w:r w:rsidRPr="0090628B">
              <w:t>zamówień publicznych</w:t>
            </w:r>
            <w:r>
              <w:t>;</w:t>
            </w:r>
            <w:r w:rsidRPr="0090628B">
              <w:t xml:space="preserve"> </w:t>
            </w:r>
          </w:p>
          <w:p w:rsidR="007D70DB" w:rsidRPr="00A57398" w:rsidRDefault="007D70DB" w:rsidP="007D70DB">
            <w:pPr>
              <w:pStyle w:val="PKTpunkt"/>
            </w:pPr>
            <w:r>
              <w:t>2)</w:t>
            </w:r>
            <w:r>
              <w:tab/>
            </w:r>
            <w:r w:rsidRPr="0090628B">
              <w:t>usług, produktów i rynków finansowych</w:t>
            </w:r>
            <w:r>
              <w:t>;</w:t>
            </w:r>
          </w:p>
          <w:p w:rsidR="007D70DB" w:rsidRPr="00A57398" w:rsidRDefault="007D70DB" w:rsidP="007D70DB">
            <w:pPr>
              <w:pStyle w:val="PKTpunkt"/>
            </w:pPr>
            <w:r>
              <w:t>3)</w:t>
            </w:r>
            <w:r>
              <w:tab/>
            </w:r>
            <w:r w:rsidRPr="0090628B">
              <w:t>zapobiegania praniu pieniędzy i finansowaniu terroryzmu</w:t>
            </w:r>
            <w:r>
              <w:t>;</w:t>
            </w:r>
          </w:p>
          <w:p w:rsidR="007D70DB" w:rsidRPr="00A57398" w:rsidRDefault="007D70DB" w:rsidP="007D70DB">
            <w:pPr>
              <w:pStyle w:val="PKTpunkt"/>
            </w:pPr>
            <w:r>
              <w:lastRenderedPageBreak/>
              <w:t>4)</w:t>
            </w:r>
            <w:r>
              <w:tab/>
            </w:r>
            <w:r w:rsidRPr="0090628B">
              <w:t>bezpieczeństwa produktów i ich zgodności z wymogami</w:t>
            </w:r>
            <w:r>
              <w:t>;</w:t>
            </w:r>
          </w:p>
          <w:p w:rsidR="007D70DB" w:rsidRPr="00A57398" w:rsidRDefault="007D70DB" w:rsidP="007D70DB">
            <w:pPr>
              <w:pStyle w:val="PKTpunkt"/>
            </w:pPr>
            <w:r>
              <w:t>5)</w:t>
            </w:r>
            <w:r>
              <w:tab/>
            </w:r>
            <w:r w:rsidRPr="0090628B">
              <w:t>bezpieczeństwa transportu</w:t>
            </w:r>
            <w:r>
              <w:t>;</w:t>
            </w:r>
          </w:p>
          <w:p w:rsidR="007D70DB" w:rsidRPr="00A57398" w:rsidRDefault="007D70DB" w:rsidP="007D70DB">
            <w:pPr>
              <w:pStyle w:val="PKTpunkt"/>
            </w:pPr>
            <w:r>
              <w:t>6)</w:t>
            </w:r>
            <w:r>
              <w:tab/>
            </w:r>
            <w:r w:rsidRPr="0090628B">
              <w:t>ochrony środowiska</w:t>
            </w:r>
            <w:r>
              <w:t>;</w:t>
            </w:r>
          </w:p>
          <w:p w:rsidR="007D70DB" w:rsidRPr="00A57398" w:rsidRDefault="007D70DB" w:rsidP="007D70DB">
            <w:pPr>
              <w:pStyle w:val="PKTpunkt"/>
            </w:pPr>
            <w:r>
              <w:t>7)</w:t>
            </w:r>
            <w:r>
              <w:tab/>
            </w:r>
            <w:r w:rsidRPr="0090628B">
              <w:t>ochrony radiologicznej i bezpieczeństwa jądrowego</w:t>
            </w:r>
            <w:r>
              <w:t>;</w:t>
            </w:r>
          </w:p>
          <w:p w:rsidR="007D70DB" w:rsidRPr="00A57398" w:rsidRDefault="007D70DB" w:rsidP="007D70DB">
            <w:pPr>
              <w:pStyle w:val="PKTpunkt"/>
            </w:pPr>
            <w:r>
              <w:t>8)</w:t>
            </w:r>
            <w:r>
              <w:tab/>
            </w:r>
            <w:r w:rsidRPr="0090628B">
              <w:t>bezpieczeństwa żywności i pasz</w:t>
            </w:r>
            <w:r>
              <w:t>;</w:t>
            </w:r>
          </w:p>
          <w:p w:rsidR="007D70DB" w:rsidRPr="00A57398" w:rsidRDefault="007D70DB" w:rsidP="007D70DB">
            <w:pPr>
              <w:pStyle w:val="PKTpunkt"/>
            </w:pPr>
            <w:r>
              <w:t>9)</w:t>
            </w:r>
            <w:r>
              <w:tab/>
            </w:r>
            <w:r w:rsidRPr="0090628B">
              <w:t>zdrowia i dobrostanu zwierząt</w:t>
            </w:r>
            <w:r>
              <w:t>;</w:t>
            </w:r>
          </w:p>
          <w:p w:rsidR="007D70DB" w:rsidRPr="00A57398" w:rsidRDefault="007D70DB" w:rsidP="007D70DB">
            <w:pPr>
              <w:pStyle w:val="PKTpunkt"/>
            </w:pPr>
            <w:r>
              <w:t>10)</w:t>
            </w:r>
            <w:r>
              <w:tab/>
            </w:r>
            <w:r w:rsidRPr="0090628B">
              <w:t>zdrowia publicznego</w:t>
            </w:r>
            <w:r>
              <w:t>;</w:t>
            </w:r>
          </w:p>
          <w:p w:rsidR="007D70DB" w:rsidRPr="00A57398" w:rsidRDefault="007D70DB" w:rsidP="007D70DB">
            <w:pPr>
              <w:pStyle w:val="PKTpunkt"/>
            </w:pPr>
            <w:r>
              <w:t>11)</w:t>
            </w:r>
            <w:r>
              <w:tab/>
            </w:r>
            <w:r w:rsidRPr="0090628B">
              <w:t>ochrony konsumentów</w:t>
            </w:r>
            <w:r>
              <w:t>;</w:t>
            </w:r>
          </w:p>
          <w:p w:rsidR="007D70DB" w:rsidRPr="00A57398" w:rsidRDefault="007D70DB" w:rsidP="007D70DB">
            <w:pPr>
              <w:pStyle w:val="PKTpunkt"/>
            </w:pPr>
            <w:r>
              <w:t>12)</w:t>
            </w:r>
            <w:r>
              <w:tab/>
            </w:r>
            <w:r w:rsidRPr="0090628B">
              <w:t>ochrony prywatności i danych osobowych</w:t>
            </w:r>
            <w:r>
              <w:t>;</w:t>
            </w:r>
          </w:p>
          <w:p w:rsidR="007D70DB" w:rsidRPr="00A57398" w:rsidRDefault="007D70DB" w:rsidP="007D70DB">
            <w:pPr>
              <w:pStyle w:val="PKTpunkt"/>
            </w:pPr>
            <w:r>
              <w:t>13)</w:t>
            </w:r>
            <w:r>
              <w:tab/>
            </w:r>
            <w:r w:rsidRPr="0090628B">
              <w:t xml:space="preserve">bezpieczeństwa sieci i systemów </w:t>
            </w:r>
            <w:r w:rsidRPr="00A57398">
              <w:t>teleinformatycznych</w:t>
            </w:r>
            <w:r>
              <w:t>;</w:t>
            </w:r>
          </w:p>
          <w:p w:rsidR="007D70DB" w:rsidRPr="00A57398" w:rsidRDefault="007D70DB" w:rsidP="007D70DB">
            <w:pPr>
              <w:pStyle w:val="PKTpunkt"/>
            </w:pPr>
            <w:r>
              <w:t>14)</w:t>
            </w:r>
            <w:r>
              <w:tab/>
            </w:r>
            <w:r w:rsidRPr="0090628B">
              <w:t>interesów finansowych Unii Europejskiej</w:t>
            </w:r>
            <w:r>
              <w:t>;</w:t>
            </w:r>
          </w:p>
          <w:p w:rsidR="007D70DB" w:rsidRDefault="007D70DB" w:rsidP="007D70DB">
            <w:pPr>
              <w:pStyle w:val="PKTpunkt"/>
            </w:pPr>
            <w:r>
              <w:t>15)</w:t>
            </w:r>
            <w:r>
              <w:tab/>
            </w:r>
            <w:r w:rsidRPr="00A57398">
              <w:t>rynku wewnętrznego Unii Europejskiej, w tym zasad</w:t>
            </w:r>
            <w:r>
              <w:t xml:space="preserve"> konkurencji i pomocy państwa </w:t>
            </w:r>
            <w:r>
              <w:lastRenderedPageBreak/>
              <w:t xml:space="preserve">oraz </w:t>
            </w:r>
            <w:r w:rsidRPr="00A57398">
              <w:t>opodatkowania osób prawnych.</w:t>
            </w:r>
          </w:p>
          <w:p w:rsidR="007D70DB" w:rsidRDefault="007D70DB" w:rsidP="007D70DB">
            <w:pPr>
              <w:pStyle w:val="USTustnpkodeksu"/>
            </w:pPr>
            <w:r>
              <w:t>2. Pracodawca może dodatkowo ustanowić zgłaszanie w zakładzie pracy</w:t>
            </w:r>
            <w:r w:rsidRPr="00C23FDA">
              <w:t xml:space="preserve"> </w:t>
            </w:r>
            <w:r>
              <w:t>innych naruszeń niż naruszenia, o których mowa w ust. 1, w tym dotyczących obowiązujących u tego pracodawcy regulacji wewnętrznych lub standardów etycznych.</w:t>
            </w:r>
          </w:p>
          <w:p w:rsidR="00663813" w:rsidRPr="00AD24FA" w:rsidRDefault="00663813" w:rsidP="00AD24FA">
            <w:pPr>
              <w:spacing w:line="240" w:lineRule="auto"/>
              <w:rPr>
                <w:rFonts w:asciiTheme="minorHAnsi" w:hAnsiTheme="minorHAnsi" w:cstheme="minorHAnsi"/>
                <w:szCs w:val="24"/>
              </w:rPr>
            </w:pPr>
          </w:p>
        </w:tc>
        <w:tc>
          <w:tcPr>
            <w:tcW w:w="3119" w:type="dxa"/>
          </w:tcPr>
          <w:p w:rsidR="001F3B4D" w:rsidRPr="00AD24FA" w:rsidRDefault="001F3B4D" w:rsidP="00AD24FA">
            <w:pPr>
              <w:spacing w:line="240" w:lineRule="auto"/>
              <w:rPr>
                <w:rFonts w:asciiTheme="minorHAnsi" w:hAnsiTheme="minorHAnsi" w:cstheme="minorHAnsi"/>
                <w:szCs w:val="24"/>
              </w:rPr>
            </w:pPr>
          </w:p>
        </w:tc>
      </w:tr>
      <w:tr w:rsidR="0093071D" w:rsidRPr="00E52299" w:rsidTr="00E7625F">
        <w:tc>
          <w:tcPr>
            <w:tcW w:w="988" w:type="dxa"/>
          </w:tcPr>
          <w:p w:rsidR="0093071D"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6</w:t>
            </w:r>
          </w:p>
        </w:tc>
        <w:tc>
          <w:tcPr>
            <w:tcW w:w="5953" w:type="dxa"/>
          </w:tcPr>
          <w:p w:rsidR="008F2D63" w:rsidRPr="00AD24FA" w:rsidRDefault="008F2D63"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Warunki objęcia ochroną osób dokonujących zgłoszenia</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   Osoby dokonujące zgłoszenia kwalifikują się do objęcia ochroną na mocy niniejszej dyrektywy, pod warunkiem że:</w:t>
            </w:r>
          </w:p>
          <w:tbl>
            <w:tblPr>
              <w:tblW w:w="5058" w:type="dxa"/>
              <w:tblInd w:w="210" w:type="dxa"/>
              <w:tblLayout w:type="fixed"/>
              <w:tblCellMar>
                <w:left w:w="0" w:type="dxa"/>
                <w:right w:w="0" w:type="dxa"/>
              </w:tblCellMar>
              <w:tblLook w:val="04A0" w:firstRow="1" w:lastRow="0" w:firstColumn="1" w:lastColumn="0" w:noHBand="0" w:noVBand="1"/>
            </w:tblPr>
            <w:tblGrid>
              <w:gridCol w:w="109"/>
              <w:gridCol w:w="4949"/>
            </w:tblGrid>
            <w:tr w:rsidR="008F2D63" w:rsidRPr="00AD24FA" w:rsidTr="00A60998">
              <w:tc>
                <w:tcPr>
                  <w:tcW w:w="109"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4949" w:type="dxa"/>
                  <w:shd w:val="clear" w:color="auto" w:fill="auto"/>
                  <w:hideMark/>
                </w:tcPr>
                <w:p w:rsidR="008F2D63" w:rsidRPr="00AD24FA" w:rsidRDefault="00A60998" w:rsidP="0048582D">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miały uzasadnione podstawy, by sądzić, że</w:t>
                  </w: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będące przedmiotem zgłoszenia informacje na temat naruszeń są prawdziwe w momencie dokonywania zgłoszenia i że informacje takie są objęte zakresem stosowania niniejszej dyrektywy; oraz</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8F2D63" w:rsidRPr="00AD24FA" w:rsidRDefault="00A60998"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dokonały zgłoszenia wewnętrznego zgodnie z art. 7 albo zgłoszenia zewnętrznego zgodnie z art. 10 lub dokonały ujawnienia publicznego zgodnie z art. 15.</w:t>
                  </w:r>
                </w:p>
              </w:tc>
            </w:tr>
          </w:tbl>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2.   Bez uszczerbku dla istniejących na mocy prawa Unii obowiązków w zakresie anonimowego zgłaszania, niniejsza dyrektywa nie wpływa na uprawnienia państw członkowskich do decydowania o tym, czy podmioty </w:t>
            </w:r>
            <w:r w:rsidRPr="00AD24FA">
              <w:rPr>
                <w:rFonts w:asciiTheme="minorHAnsi" w:hAnsiTheme="minorHAnsi" w:cstheme="minorHAnsi"/>
                <w:color w:val="444444"/>
                <w:szCs w:val="24"/>
                <w:lang w:eastAsia="pl-PL"/>
              </w:rPr>
              <w:lastRenderedPageBreak/>
              <w:t>prawne w sektorze prywatnym lub publicznym oraz właściwe organy są zobowiązane do przyjmowania anonimowych zgłoszeń na temat naruszeń i podejmowania w związku z nimi działań następczych.</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3.   Osoby, które dokonały anonimowego zgłoszenia informacji na temat naruszeń lub anonimowo ujawniły publicznie takie informacje, a następnie zostały zidentyfikowane i doświadczyły działań odwetowych, kwalifikują się mimo to do objęcia ochroną przewidzianą w rozdziale VI, pod warunkiem że spełniają warunki określone w ust. 1.</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4.   Osoby dokonujące zgłoszenia do odpowiednich instytucji, organów lub jednostek organizacyjnych Unii naruszeń objętych zakresem stosowania niniejszej dyrektywy kwalifikują się do objęcia ochroną ustanowioną w niniejszej dyrektywie na takich samych warunkach jak osoby, które dokonały zgłoszenia zewnętrznego.</w:t>
            </w:r>
          </w:p>
          <w:p w:rsidR="0093071D" w:rsidRPr="00AD24FA" w:rsidRDefault="0093071D" w:rsidP="00AD24FA">
            <w:pPr>
              <w:spacing w:line="240" w:lineRule="auto"/>
              <w:rPr>
                <w:rFonts w:asciiTheme="minorHAnsi" w:hAnsiTheme="minorHAnsi" w:cstheme="minorHAnsi"/>
                <w:szCs w:val="24"/>
              </w:rPr>
            </w:pPr>
          </w:p>
        </w:tc>
        <w:tc>
          <w:tcPr>
            <w:tcW w:w="851" w:type="dxa"/>
          </w:tcPr>
          <w:p w:rsidR="0093071D" w:rsidRPr="00AD24FA" w:rsidRDefault="00A60998"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1F3B4D" w:rsidRPr="00AD24FA" w:rsidRDefault="00684B34"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t xml:space="preserve">Art. </w:t>
            </w:r>
            <w:r w:rsidR="007D70DB">
              <w:rPr>
                <w:rFonts w:asciiTheme="minorHAnsi" w:hAnsiTheme="minorHAnsi" w:cstheme="minorHAnsi"/>
                <w:b/>
                <w:szCs w:val="24"/>
              </w:rPr>
              <w:t>6</w:t>
            </w:r>
            <w:r w:rsidR="007C1DBE">
              <w:rPr>
                <w:rFonts w:asciiTheme="minorHAnsi" w:hAnsiTheme="minorHAnsi" w:cstheme="minorHAnsi"/>
                <w:b/>
                <w:szCs w:val="24"/>
              </w:rPr>
              <w:t xml:space="preserve">, </w:t>
            </w:r>
            <w:r w:rsidR="00663813" w:rsidRPr="00AD24FA">
              <w:rPr>
                <w:rFonts w:asciiTheme="minorHAnsi" w:hAnsiTheme="minorHAnsi" w:cstheme="minorHAnsi"/>
                <w:b/>
                <w:szCs w:val="24"/>
              </w:rPr>
              <w:t xml:space="preserve">art. </w:t>
            </w:r>
            <w:r w:rsidR="007D70DB">
              <w:rPr>
                <w:rFonts w:asciiTheme="minorHAnsi" w:hAnsiTheme="minorHAnsi" w:cstheme="minorHAnsi"/>
                <w:b/>
                <w:szCs w:val="24"/>
              </w:rPr>
              <w:t xml:space="preserve">7 </w:t>
            </w:r>
            <w:r w:rsidR="007C1DBE">
              <w:rPr>
                <w:rFonts w:asciiTheme="minorHAnsi" w:hAnsiTheme="minorHAnsi" w:cstheme="minorHAnsi"/>
                <w:b/>
                <w:szCs w:val="24"/>
              </w:rPr>
              <w:t xml:space="preserve">oraz art. </w:t>
            </w:r>
            <w:r w:rsidR="007D70DB">
              <w:rPr>
                <w:rFonts w:asciiTheme="minorHAnsi" w:hAnsiTheme="minorHAnsi" w:cstheme="minorHAnsi"/>
                <w:b/>
                <w:szCs w:val="24"/>
              </w:rPr>
              <w:t>26</w:t>
            </w:r>
          </w:p>
        </w:tc>
        <w:tc>
          <w:tcPr>
            <w:tcW w:w="3827" w:type="dxa"/>
          </w:tcPr>
          <w:p w:rsidR="007D70DB" w:rsidRPr="00A57398" w:rsidRDefault="007D70DB" w:rsidP="00CE0632">
            <w:pPr>
              <w:pStyle w:val="ARTartustawynprozporzdzenia"/>
              <w:ind w:firstLine="0"/>
            </w:pPr>
            <w:r w:rsidRPr="00450CC4">
              <w:rPr>
                <w:rStyle w:val="Ppogrubienie"/>
              </w:rPr>
              <w:t xml:space="preserve">Art. </w:t>
            </w:r>
            <w:r>
              <w:rPr>
                <w:rStyle w:val="Ppogrubienie"/>
              </w:rPr>
              <w:t>6</w:t>
            </w:r>
            <w:r w:rsidRPr="00450CC4">
              <w:rPr>
                <w:rStyle w:val="Ppogrubienie"/>
              </w:rPr>
              <w:t>.</w:t>
            </w:r>
            <w:r w:rsidRPr="00A57398">
              <w:t xml:space="preserve"> Zgłaszający podlega ochronie</w:t>
            </w:r>
            <w:r>
              <w:t xml:space="preserve"> określonej w rozdziale 2</w:t>
            </w:r>
            <w:r w:rsidRPr="00A57398">
              <w:t xml:space="preserve">, pod warunkiem że miał uzasadnione podstawy sądzić, że będąca przedmiotem zgłoszenia </w:t>
            </w:r>
            <w:r>
              <w:t xml:space="preserve">lub ujawnienia publicznego </w:t>
            </w:r>
            <w:r w:rsidRPr="00A57398">
              <w:t xml:space="preserve">informacja o naruszeniu </w:t>
            </w:r>
            <w:r>
              <w:t xml:space="preserve">prawa </w:t>
            </w:r>
            <w:r w:rsidRPr="00A57398">
              <w:t xml:space="preserve">jest prawdziwa w momencie dokonywania zgłoszenia </w:t>
            </w:r>
            <w:r>
              <w:t>lub ujawnienia publicznego</w:t>
            </w:r>
            <w:r w:rsidRPr="00A57398">
              <w:t xml:space="preserve"> i że informacja taka stanowi informację o naruszeniu </w:t>
            </w:r>
            <w:r>
              <w:t>prawa</w:t>
            </w:r>
            <w:r w:rsidRPr="00A57398">
              <w:t xml:space="preserve">. </w:t>
            </w:r>
          </w:p>
          <w:p w:rsidR="007D70DB" w:rsidRPr="00A57398" w:rsidRDefault="007D70DB" w:rsidP="00CE0632">
            <w:pPr>
              <w:pStyle w:val="ARTartustawynprozporzdzenia"/>
              <w:ind w:firstLine="0"/>
            </w:pPr>
            <w:r w:rsidRPr="00450CC4">
              <w:rPr>
                <w:rStyle w:val="Ppogrubienie"/>
              </w:rPr>
              <w:lastRenderedPageBreak/>
              <w:t xml:space="preserve">Art. </w:t>
            </w:r>
            <w:r>
              <w:rPr>
                <w:rStyle w:val="Ppogrubienie"/>
              </w:rPr>
              <w:t>7</w:t>
            </w:r>
            <w:r w:rsidRPr="00450CC4">
              <w:rPr>
                <w:rStyle w:val="Ppogrubienie"/>
              </w:rPr>
              <w:t>.</w:t>
            </w:r>
            <w:r w:rsidRPr="00A57398">
              <w:t xml:space="preserve"> 1. Przepisy ustawy stosuje się do zgłoszenia informacji o naruszeniu </w:t>
            </w:r>
            <w:r>
              <w:t xml:space="preserve">prawa </w:t>
            </w:r>
            <w:r w:rsidRPr="00A57398">
              <w:t>anonimowo</w:t>
            </w:r>
            <w:r>
              <w:t>,</w:t>
            </w:r>
            <w:r w:rsidRPr="00A57398">
              <w:t xml:space="preserve"> wyłącznie w przypadkach gdy</w:t>
            </w:r>
            <w:r w:rsidRPr="000B6F4C">
              <w:t xml:space="preserve"> </w:t>
            </w:r>
            <w:r w:rsidRPr="00A57398">
              <w:t xml:space="preserve">możliwość zgłoszenia informacji o naruszeniu </w:t>
            </w:r>
            <w:r>
              <w:t xml:space="preserve">prawa </w:t>
            </w:r>
            <w:r w:rsidRPr="00A57398">
              <w:t>anonimowo przewiduje:</w:t>
            </w:r>
          </w:p>
          <w:p w:rsidR="007D70DB" w:rsidRPr="00A57398" w:rsidRDefault="007D70DB" w:rsidP="007D70DB">
            <w:pPr>
              <w:pStyle w:val="PKTpunkt"/>
            </w:pPr>
            <w:r>
              <w:t>1)</w:t>
            </w:r>
            <w:r>
              <w:tab/>
            </w:r>
            <w:r w:rsidRPr="00A57398">
              <w:t>regulamin zgłoszeń wewnętrznych</w:t>
            </w:r>
            <w:r>
              <w:t>,</w:t>
            </w:r>
            <w:r w:rsidRPr="00A57398">
              <w:t xml:space="preserve"> stosowany przez pracodawcę</w:t>
            </w:r>
            <w:r>
              <w:t>,</w:t>
            </w:r>
            <w:r w:rsidRPr="00A57398">
              <w:t xml:space="preserve"> określający wewnętrzną procedurę zgłaszania naruszeń prawa lub</w:t>
            </w:r>
          </w:p>
          <w:p w:rsidR="007D70DB" w:rsidRPr="00A57398" w:rsidRDefault="007D70DB" w:rsidP="007D70DB">
            <w:pPr>
              <w:pStyle w:val="PKTpunkt"/>
            </w:pPr>
            <w:r>
              <w:t>2)</w:t>
            </w:r>
            <w:r>
              <w:tab/>
            </w:r>
            <w:r w:rsidRPr="00A57398">
              <w:t>procedura zgłaszania naruszeń prawa organowi publicznemu.</w:t>
            </w:r>
          </w:p>
          <w:p w:rsidR="007D70DB" w:rsidRDefault="007D70DB" w:rsidP="007D70DB">
            <w:pPr>
              <w:pStyle w:val="USTustnpkodeksu"/>
            </w:pPr>
            <w:r w:rsidRPr="00A57398">
              <w:t xml:space="preserve">2. Jeżeli informacja o naruszeniu </w:t>
            </w:r>
            <w:r>
              <w:t xml:space="preserve">prawa </w:t>
            </w:r>
            <w:r w:rsidRPr="00A57398">
              <w:t xml:space="preserve">została zgłoszona anonimowo pracodawcy, organowi publicznemu lub ujawniona publicznie i doszło następnie do ujawnienia tożsamości zgłaszającego, który doświadczył działań odwetowych, przepisy </w:t>
            </w:r>
            <w:r>
              <w:t xml:space="preserve">rozdziału 2 </w:t>
            </w:r>
            <w:r w:rsidRPr="00A57398">
              <w:lastRenderedPageBreak/>
              <w:t xml:space="preserve">stosuje się, jeżeli spełnione zostały warunki określone w art. </w:t>
            </w:r>
            <w:r>
              <w:t>6</w:t>
            </w:r>
            <w:r w:rsidRPr="00A57398">
              <w:t>.</w:t>
            </w:r>
          </w:p>
          <w:p w:rsidR="007D70DB" w:rsidRPr="00A57398" w:rsidRDefault="007D70DB" w:rsidP="00CE0632">
            <w:pPr>
              <w:pStyle w:val="ARTartustawynprozporzdzenia"/>
              <w:ind w:firstLine="0"/>
            </w:pPr>
            <w:r w:rsidRPr="00391239">
              <w:rPr>
                <w:rStyle w:val="Ppogrubienie"/>
              </w:rPr>
              <w:t xml:space="preserve">Art. </w:t>
            </w:r>
            <w:r>
              <w:rPr>
                <w:rStyle w:val="Ppogrubienie"/>
              </w:rPr>
              <w:t>26</w:t>
            </w:r>
            <w:r w:rsidRPr="00391239">
              <w:rPr>
                <w:rStyle w:val="Ppogrubienie"/>
              </w:rPr>
              <w:t>.</w:t>
            </w:r>
            <w:r w:rsidRPr="00A57398">
              <w:t xml:space="preserve"> Przepisy </w:t>
            </w:r>
            <w:r>
              <w:t xml:space="preserve">art. 10-24 </w:t>
            </w:r>
            <w:r w:rsidRPr="00A57398">
              <w:t xml:space="preserve"> stosuje się odpowiednio w przypadku, gdy informację o naruszeniu</w:t>
            </w:r>
            <w:r>
              <w:t xml:space="preserve"> prawa</w:t>
            </w:r>
            <w:r w:rsidRPr="00A57398">
              <w:t xml:space="preserve"> zgłoszono do odpowiedniej instytucji, organu lub jednostki organizacyjnej Unii Europejskiej w trybie właściwym do dokonywania takich zgłoszeń.</w:t>
            </w:r>
          </w:p>
          <w:p w:rsidR="007C1DBE" w:rsidRPr="00AD24FA" w:rsidRDefault="007C1DBE" w:rsidP="00AD24FA">
            <w:pPr>
              <w:pStyle w:val="USTustnpkodeksu"/>
              <w:spacing w:line="240" w:lineRule="auto"/>
              <w:rPr>
                <w:rFonts w:asciiTheme="minorHAnsi" w:hAnsiTheme="minorHAnsi" w:cstheme="minorHAnsi"/>
                <w:szCs w:val="24"/>
              </w:rPr>
            </w:pPr>
          </w:p>
          <w:p w:rsidR="00720562" w:rsidRPr="00AD24FA" w:rsidRDefault="00720562" w:rsidP="00AD24FA">
            <w:pPr>
              <w:spacing w:line="240" w:lineRule="auto"/>
              <w:rPr>
                <w:rFonts w:asciiTheme="minorHAnsi" w:hAnsiTheme="minorHAnsi" w:cstheme="minorHAnsi"/>
                <w:szCs w:val="24"/>
              </w:rPr>
            </w:pPr>
          </w:p>
        </w:tc>
        <w:tc>
          <w:tcPr>
            <w:tcW w:w="3119" w:type="dxa"/>
          </w:tcPr>
          <w:p w:rsidR="001F3B4D" w:rsidRPr="00AD24FA" w:rsidRDefault="001F3B4D"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7</w:t>
            </w:r>
          </w:p>
        </w:tc>
        <w:tc>
          <w:tcPr>
            <w:tcW w:w="5953" w:type="dxa"/>
          </w:tcPr>
          <w:p w:rsidR="008F2D63" w:rsidRPr="00AD24FA" w:rsidRDefault="008F2D63"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Zgłaszanie za pośrednictwem wewnętrznych kanałów dokonywania zgłoszeń</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1.   Co do zasady i bez uszczerbku dla art. 10 i 15 informacje na temat naruszeń mogą być zgłaszane za pośrednictwem wewnętrznych kanałów i procedur dokonywania zgłoszeń przewidzianych w niniejszym rozdziale.</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2.   Państwa członkowskie zachęcają do zgłaszania za pośrednictwem wewnętrznych kanałów dokonywania zgłoszeń przed dokonaniem zgłoszenia za pośrednictwem zewnętrznych kanałów dokonywania zgłoszeń w przypadku, gdy naruszeniu można skutecznie zaradzić wewnątrz organizacji, a osoba dokonująca zgłoszenia uważa, że nie zachodzi ryzyko działań odwetowych.</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lastRenderedPageBreak/>
              <w:t>3.   Należy przekazać odpowiednie informacje dotyczące korzystania z wewnętrznych kanałów dokonywania zgłoszeń, o którym mowa w ust. 2, w kontekście informacji udzielanych przez podmioty prawne w sektorze prywatnym i publicznym zgodnie z art. 9 ust. 1 lit. g) i przez właściwe organy zgodnie z art. 12 ust. 4 lit. a) i art. 13.</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684B34"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663813" w:rsidP="0048582D">
            <w:pPr>
              <w:spacing w:line="240" w:lineRule="auto"/>
              <w:jc w:val="center"/>
              <w:rPr>
                <w:rFonts w:asciiTheme="minorHAnsi" w:hAnsiTheme="minorHAnsi" w:cstheme="minorHAnsi"/>
                <w:b/>
                <w:szCs w:val="24"/>
              </w:rPr>
            </w:pPr>
            <w:r w:rsidRPr="00AD24FA">
              <w:rPr>
                <w:rFonts w:asciiTheme="minorHAnsi" w:hAnsiTheme="minorHAnsi" w:cstheme="minorHAnsi"/>
                <w:b/>
                <w:szCs w:val="24"/>
              </w:rPr>
              <w:t xml:space="preserve">Art. </w:t>
            </w:r>
            <w:r w:rsidR="007D70DB">
              <w:rPr>
                <w:rFonts w:asciiTheme="minorHAnsi" w:hAnsiTheme="minorHAnsi" w:cstheme="minorHAnsi"/>
                <w:b/>
                <w:szCs w:val="24"/>
              </w:rPr>
              <w:t>27</w:t>
            </w:r>
          </w:p>
        </w:tc>
        <w:tc>
          <w:tcPr>
            <w:tcW w:w="3827" w:type="dxa"/>
          </w:tcPr>
          <w:p w:rsidR="007D70DB" w:rsidRDefault="007D70DB" w:rsidP="00CE0632">
            <w:pPr>
              <w:pStyle w:val="ARTartustawynprozporzdzenia"/>
              <w:ind w:firstLine="0"/>
            </w:pPr>
            <w:r w:rsidRPr="00391239">
              <w:rPr>
                <w:rStyle w:val="Ppogrubienie"/>
              </w:rPr>
              <w:t xml:space="preserve">Art. </w:t>
            </w:r>
            <w:r>
              <w:rPr>
                <w:rStyle w:val="Ppogrubienie"/>
              </w:rPr>
              <w:t>27</w:t>
            </w:r>
            <w:r w:rsidRPr="00391239">
              <w:rPr>
                <w:rStyle w:val="Ppogrubienie"/>
              </w:rPr>
              <w:t>.</w:t>
            </w:r>
            <w:r w:rsidRPr="00A57398">
              <w:t xml:space="preserve"> 1. Obowiązki określone w przepisach niniejszego rozdziału stosuje się do pracodawcy zatrudniającego co najmniej 50 pracowników.</w:t>
            </w:r>
          </w:p>
          <w:p w:rsidR="007D70DB" w:rsidRDefault="007D70DB" w:rsidP="007D70DB">
            <w:pPr>
              <w:pStyle w:val="USTustnpkodeksu"/>
            </w:pPr>
            <w:r w:rsidRPr="004E351C">
              <w:t xml:space="preserve">2. Próg, o którym mowa w ust. 1, nie ma zastosowania do </w:t>
            </w:r>
            <w:r>
              <w:t>pracodawców wykonujących działalność w zakresie</w:t>
            </w:r>
            <w:r w:rsidRPr="004E351C">
              <w:t xml:space="preserve"> </w:t>
            </w:r>
            <w:r>
              <w:t xml:space="preserve">usług, </w:t>
            </w:r>
            <w:r>
              <w:lastRenderedPageBreak/>
              <w:t>produktów i rynków finansowych oraz zapobiegania</w:t>
            </w:r>
            <w:r w:rsidRPr="004E351C">
              <w:t xml:space="preserve"> praniu pieniędzy i finanso</w:t>
            </w:r>
            <w:r>
              <w:t>waniu terroryzmu, bezpieczeństwa transportu i ochrony środowiska,</w:t>
            </w:r>
            <w:r w:rsidRPr="004E351C">
              <w:t xml:space="preserve"> </w:t>
            </w:r>
            <w:r>
              <w:t>o</w:t>
            </w:r>
            <w:r w:rsidRPr="004E351C">
              <w:t xml:space="preserve">bjętych zakresem stosowania aktów </w:t>
            </w:r>
            <w:r>
              <w:t xml:space="preserve">prawnych </w:t>
            </w:r>
            <w:r w:rsidRPr="004E351C">
              <w:t xml:space="preserve">Unii </w:t>
            </w:r>
            <w:r>
              <w:t xml:space="preserve">Europejskiej </w:t>
            </w:r>
            <w:r w:rsidRPr="004E351C">
              <w:t>wymienionych</w:t>
            </w:r>
            <w:r>
              <w:t xml:space="preserve"> w części I.B i II załącznika</w:t>
            </w:r>
            <w:r w:rsidRPr="004E351C">
              <w:t xml:space="preserve"> do dyrektywy Parlamentu Europejskiego i Rady (UE) 2019/1937 z dnia 23 października 2019 r. w sprawie ochrony osób zgłaszających naruszenia prawa Unii</w:t>
            </w:r>
            <w:r>
              <w:t>.</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t>Art. 8</w:t>
            </w:r>
          </w:p>
        </w:tc>
        <w:tc>
          <w:tcPr>
            <w:tcW w:w="5953" w:type="dxa"/>
          </w:tcPr>
          <w:p w:rsidR="008F2D63" w:rsidRPr="00AD24FA" w:rsidRDefault="008F2D63"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Obowiązek ustanowienia wewnętrznych kanałów dokonywania zgłoszeń</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1.   Państwa członkowskie zapewniają, by podmioty prawne w sektorze prywatnym i publicznym ustanowiły kanały i procedury na potrzeby dokonywania zgłoszeń wewnętrznych i podejmowania działań następczych, po konsultacji i w porozumieniu z partnerami społecznymi, jeżeli tak przewiduje prawo krajowe.</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 xml:space="preserve">2.   Kanały i procedury, o których mowa w ust. 1 niniejszego artykułu, powinny umożliwiać pracownikom podmiotu </w:t>
            </w:r>
            <w:r w:rsidRPr="00AD24FA">
              <w:rPr>
                <w:rFonts w:asciiTheme="minorHAnsi" w:hAnsiTheme="minorHAnsi" w:cstheme="minorHAnsi"/>
                <w:color w:val="444444"/>
              </w:rPr>
              <w:lastRenderedPageBreak/>
              <w:t>dokonywanie zgłoszeń informacji na temat naruszeń. Mogą one umożliwiać dokonywanie zgłoszeń informacji na temat naruszeń również przez inne osoby, o których mowa w art. 4 ust. 1 lit b), c) i d) oraz art. 4 ust. 2, utrzymujące kontakt z podmiotem w kontekście związanym z pracą.</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3.   Ust. 1 stosuje się do podmiotów prawnych w sektorze prywatnym, które zatrudniają co najmniej 50 pracowników.</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4.   Próg określony w ust. 3 nie ma zastosowania do podmiotów objętych zakresem stosowania aktów Unii wymienionych w części I.B i II załącznika.</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5.   Kanały dokonywania zgłoszeń mogą być obsługiwane wewnętrznie przez wyznaczoną do tego celu osobę lub wyznaczony dział lub zapewniane zewnętrznie przez osobę trzecią. Zabezpieczenia i wymogi, o których mowa w art. 9 ust. 1, stosuje się również do osób trzecich, którym powierzono obsługę kanału dokonywania zgłoszeń na rzecz podmiotu prawnego w sektorze prywatnym.</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6.   Podmioty prawne w sektorze prywatnym zatrudniające od 50 do 249 pracowników mogą dzielić się zasobami w zakresie przyjmowania zgłoszeń i wszelkich prowadzonych postępowań wyjaśniających. Pozostaje to bez uszczerbku dla obowiązków nałożonych na te podmioty przez niniejszą dyrektywę w zakresie zachowania poufności, przekazywania informacji zwrotnych oraz zaradzenia naruszeniu będącemu przedmiotem zgłoszenia.</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 xml:space="preserve">7.   Po dokonaniu odpowiedniej oceny ryzyka, uwzględniającej charakter działalności podmiotów i wynikający z niej poziom ryzyka, w szczególności w </w:t>
            </w:r>
            <w:r w:rsidRPr="00AD24FA">
              <w:rPr>
                <w:rFonts w:asciiTheme="minorHAnsi" w:hAnsiTheme="minorHAnsi" w:cstheme="minorHAnsi"/>
                <w:color w:val="444444"/>
              </w:rPr>
              <w:lastRenderedPageBreak/>
              <w:t>dziedzinie środowiska i zdrowia publicznego, państwa członkowskie mogą zobowiązać podmioty prawne w sektorze prywatnym, które zatrudniają mniej niż 50 pracowników, do ustanowienia wewnętrznych kanałów i procedur dokonywania zgłoszeń zgodnie z rozdziałem II.</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8.   Państwa członkowskie powiadamiają Komisję o każdej podjętej przez nie decyzji zobowiązującej podmioty prawne w sektorze prywatnym do ustanowienia wewnętrznych kanałów dokonywania zgłoszeń zgodnie z ust. 7. Powiadomienie takie musi zawierać uzasadnienie decyzji oraz kryteria zastosowane w ocenie ryzyka, o których mowa w ust. 7. Komisja informuje o tej decyzji pozostałe państwa członkowskie.</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9.   Ust. 1 stosuje się do wszystkich podmiotów prawnych w sektorze publicznym, w tym do podmiotów będących własnością lub znajdujących się pod kontrolą takich podmiotów.</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Państwa członkowskie mogą zwolnić z obowiązku, o którym mowa w ust. 1, gminy liczące mniej niż 10 000 mieszkańców lub zatrudniające mniej niż 50 pracowników lub inne podmioty, o których mowa w akapicie pierwszym niniejszego ustępu zatrudniające mniej niż 50 pracowników.</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 xml:space="preserve">Państwa członkowskie mogą wprowadzić przepisy przewidujące, że wewnętrzne kanały dokonywania zgłoszeń mogą być wspólne dla kilku gmin lub obsługiwane przez wspólne organy gminne zgodnie z prawem krajowym, pod warunkiem że wspólne wewnętrzne kanały dokonywania zgłoszeń są odrębne i niezależne od </w:t>
            </w:r>
            <w:r w:rsidRPr="00AD24FA">
              <w:rPr>
                <w:rFonts w:asciiTheme="minorHAnsi" w:hAnsiTheme="minorHAnsi" w:cstheme="minorHAnsi"/>
                <w:color w:val="444444"/>
              </w:rPr>
              <w:lastRenderedPageBreak/>
              <w:t>odpowiednich zewnętrznych kanałów dokonywania zgłoszeń.</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684B34"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684B34"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t xml:space="preserve">Art. </w:t>
            </w:r>
            <w:r w:rsidR="007D70DB">
              <w:rPr>
                <w:rFonts w:asciiTheme="minorHAnsi" w:hAnsiTheme="minorHAnsi" w:cstheme="minorHAnsi"/>
                <w:b/>
                <w:szCs w:val="24"/>
              </w:rPr>
              <w:t>28</w:t>
            </w:r>
            <w:r w:rsidR="00663813" w:rsidRPr="00AD24FA">
              <w:rPr>
                <w:rFonts w:asciiTheme="minorHAnsi" w:hAnsiTheme="minorHAnsi" w:cstheme="minorHAnsi"/>
                <w:b/>
                <w:szCs w:val="24"/>
              </w:rPr>
              <w:t xml:space="preserve"> </w:t>
            </w:r>
            <w:r w:rsidR="00AF2B81">
              <w:rPr>
                <w:rFonts w:asciiTheme="minorHAnsi" w:hAnsiTheme="minorHAnsi" w:cstheme="minorHAnsi"/>
                <w:b/>
                <w:szCs w:val="24"/>
              </w:rPr>
              <w:t xml:space="preserve">do </w:t>
            </w:r>
            <w:r w:rsidR="00663813" w:rsidRPr="00AD24FA">
              <w:rPr>
                <w:rFonts w:asciiTheme="minorHAnsi" w:hAnsiTheme="minorHAnsi" w:cstheme="minorHAnsi"/>
                <w:b/>
                <w:szCs w:val="24"/>
              </w:rPr>
              <w:t>art. 3</w:t>
            </w:r>
            <w:r w:rsidR="00BE1FB3">
              <w:rPr>
                <w:rFonts w:asciiTheme="minorHAnsi" w:hAnsiTheme="minorHAnsi" w:cstheme="minorHAnsi"/>
                <w:b/>
                <w:szCs w:val="24"/>
              </w:rPr>
              <w:t>3</w:t>
            </w:r>
          </w:p>
        </w:tc>
        <w:tc>
          <w:tcPr>
            <w:tcW w:w="3827" w:type="dxa"/>
          </w:tcPr>
          <w:p w:rsidR="007D70DB" w:rsidRDefault="007D70DB" w:rsidP="00CE0632">
            <w:pPr>
              <w:pStyle w:val="ARTartustawynprozporzdzenia"/>
              <w:ind w:firstLine="0"/>
            </w:pPr>
            <w:r w:rsidRPr="00391239">
              <w:rPr>
                <w:rStyle w:val="Ppogrubienie"/>
              </w:rPr>
              <w:t xml:space="preserve">Art. </w:t>
            </w:r>
            <w:r>
              <w:rPr>
                <w:rStyle w:val="Ppogrubienie"/>
              </w:rPr>
              <w:t>28</w:t>
            </w:r>
            <w:r w:rsidRPr="00391239">
              <w:rPr>
                <w:rStyle w:val="Ppogrubienie"/>
              </w:rPr>
              <w:t>.</w:t>
            </w:r>
            <w:r w:rsidRPr="00A57398">
              <w:t xml:space="preserve"> 1. Pracodawca ustala regulamin zgłoszeń wewnętrznych, określający wewnętrzną procedurę zgłaszania naruszeń </w:t>
            </w:r>
            <w:r>
              <w:t xml:space="preserve">prawa </w:t>
            </w:r>
            <w:r w:rsidRPr="00A57398">
              <w:t>i podejmowania działań następczych, zgodną z wymogami określonymi w niniejszym rozdziale.</w:t>
            </w:r>
          </w:p>
          <w:p w:rsidR="007D70DB" w:rsidRPr="00A57398" w:rsidRDefault="007D70DB" w:rsidP="007D70DB">
            <w:pPr>
              <w:pStyle w:val="USTustnpkodeksu"/>
            </w:pPr>
            <w:r>
              <w:lastRenderedPageBreak/>
              <w:t xml:space="preserve">2. Pracodawca </w:t>
            </w:r>
            <w:r w:rsidRPr="00D35166">
              <w:t xml:space="preserve">zatrudniający mniej niż 50 pracowników może </w:t>
            </w:r>
            <w:r>
              <w:t>ustalić regulamin zgłoszeń wewnętrznych.</w:t>
            </w:r>
          </w:p>
          <w:p w:rsidR="007D70DB" w:rsidRPr="00A57398" w:rsidRDefault="007D70DB" w:rsidP="007D70DB">
            <w:pPr>
              <w:pStyle w:val="USTustnpkodeksu"/>
            </w:pPr>
            <w:r>
              <w:t>3</w:t>
            </w:r>
            <w:r w:rsidRPr="00A57398">
              <w:t>. Regulamin zgłoszeń wewnętrznych pracodawca ustala</w:t>
            </w:r>
            <w:r w:rsidRPr="002E1ADF">
              <w:t xml:space="preserve"> po konsultacji z</w:t>
            </w:r>
            <w:r w:rsidRPr="00A57398">
              <w:t>:</w:t>
            </w:r>
          </w:p>
          <w:p w:rsidR="007D70DB" w:rsidRPr="00A57398" w:rsidRDefault="007D70DB" w:rsidP="007D70DB">
            <w:pPr>
              <w:pStyle w:val="PKTpunkt"/>
            </w:pPr>
            <w:r>
              <w:t>1)</w:t>
            </w:r>
            <w:r>
              <w:tab/>
            </w:r>
            <w:r w:rsidRPr="00A57398">
              <w:t>zakładow</w:t>
            </w:r>
            <w:r>
              <w:t>ą</w:t>
            </w:r>
            <w:r w:rsidRPr="00A57398">
              <w:t xml:space="preserve"> organizacj</w:t>
            </w:r>
            <w:r>
              <w:t>ą</w:t>
            </w:r>
            <w:r w:rsidRPr="00A57398">
              <w:t xml:space="preserve"> związkow</w:t>
            </w:r>
            <w:r>
              <w:t>ą</w:t>
            </w:r>
            <w:r w:rsidRPr="00A57398">
              <w:t xml:space="preserve"> albo</w:t>
            </w:r>
          </w:p>
          <w:p w:rsidR="007D70DB" w:rsidRPr="00A57398" w:rsidRDefault="007D70DB" w:rsidP="007D70DB">
            <w:pPr>
              <w:pStyle w:val="PKTpunkt"/>
            </w:pPr>
            <w:r>
              <w:t>2)</w:t>
            </w:r>
            <w:r>
              <w:tab/>
            </w:r>
            <w:r w:rsidRPr="00A57398">
              <w:t>przedstawicielami pracowników, wyłonionymi w trybie przyjętym u danego pracodawcy – jeżeli u pracodawcy nie działa zakładow</w:t>
            </w:r>
            <w:r>
              <w:t>a</w:t>
            </w:r>
            <w:r w:rsidRPr="00A57398">
              <w:t xml:space="preserve"> organizacj</w:t>
            </w:r>
            <w:r>
              <w:t>a</w:t>
            </w:r>
            <w:r w:rsidRPr="00A57398">
              <w:t xml:space="preserve"> związkowe.</w:t>
            </w:r>
          </w:p>
          <w:p w:rsidR="007D70DB" w:rsidRPr="00A57398" w:rsidRDefault="007D70DB" w:rsidP="007D70DB">
            <w:pPr>
              <w:pStyle w:val="USTustnpkodeksu"/>
            </w:pPr>
            <w:r>
              <w:t>4</w:t>
            </w:r>
            <w:r w:rsidRPr="00A57398">
              <w:t xml:space="preserve">. Regulamin zgłoszeń wewnętrznych wchodzi w życie po upływie 2 tygodni od dnia podania go do wiadomości pracowników w </w:t>
            </w:r>
            <w:r w:rsidRPr="00A57398">
              <w:lastRenderedPageBreak/>
              <w:t>sposób przyjęty u danego pracodawcy.</w:t>
            </w:r>
          </w:p>
          <w:p w:rsidR="007D70DB" w:rsidRPr="00A57398" w:rsidRDefault="007D70DB" w:rsidP="007D70DB">
            <w:pPr>
              <w:pStyle w:val="USTustnpkodeksu"/>
            </w:pPr>
            <w:r>
              <w:t>5</w:t>
            </w:r>
            <w:r w:rsidRPr="00A57398">
              <w:t>. Pracodawca jest obowiązany zapoznać pracownika z treścią regulaminu zgłoszeń wewnętrznych przed dopuszczeniem go do pracy.</w:t>
            </w:r>
          </w:p>
          <w:p w:rsidR="007D70DB" w:rsidRPr="00A57398" w:rsidRDefault="007D70DB" w:rsidP="00CE0632">
            <w:pPr>
              <w:pStyle w:val="ARTartustawynprozporzdzenia"/>
              <w:ind w:firstLine="0"/>
            </w:pPr>
            <w:r w:rsidRPr="00391239">
              <w:rPr>
                <w:rStyle w:val="Ppogrubienie"/>
              </w:rPr>
              <w:t xml:space="preserve">Art. </w:t>
            </w:r>
            <w:r>
              <w:rPr>
                <w:rStyle w:val="Ppogrubienie"/>
              </w:rPr>
              <w:t>29</w:t>
            </w:r>
            <w:r w:rsidRPr="00391239">
              <w:rPr>
                <w:rStyle w:val="Ppogrubienie"/>
              </w:rPr>
              <w:t>.</w:t>
            </w:r>
            <w:r w:rsidRPr="00A57398">
              <w:t xml:space="preserve"> 1. Regulamin zgłoszeń wewnętrznych określa w szczególności: </w:t>
            </w:r>
          </w:p>
          <w:p w:rsidR="007D70DB" w:rsidRPr="00A57398" w:rsidRDefault="007D70DB" w:rsidP="007D70DB">
            <w:pPr>
              <w:pStyle w:val="PKTpunkt"/>
            </w:pPr>
            <w:r>
              <w:t>1)</w:t>
            </w:r>
            <w:r>
              <w:tab/>
            </w:r>
            <w:r w:rsidRPr="00A57398">
              <w:t>podmiot wewnętrzn</w:t>
            </w:r>
            <w:r>
              <w:t>y</w:t>
            </w:r>
            <w:r w:rsidRPr="00A57398">
              <w:t xml:space="preserve"> upoważnion</w:t>
            </w:r>
            <w:r>
              <w:t>y</w:t>
            </w:r>
            <w:r w:rsidRPr="00A57398">
              <w:t xml:space="preserve"> przez pracodawcę do przyjmowania zgłoszeń;</w:t>
            </w:r>
          </w:p>
          <w:p w:rsidR="007D70DB" w:rsidRPr="00A57398" w:rsidRDefault="007D70DB" w:rsidP="007D70DB">
            <w:pPr>
              <w:pStyle w:val="PKTpunkt"/>
            </w:pPr>
            <w:r>
              <w:t>2)</w:t>
            </w:r>
            <w:r>
              <w:tab/>
            </w:r>
            <w:r w:rsidRPr="00A57398">
              <w:t>sposoby przekazywania zgłoszeń;</w:t>
            </w:r>
          </w:p>
          <w:p w:rsidR="007D70DB" w:rsidRPr="00A57398" w:rsidRDefault="007D70DB" w:rsidP="007D70DB">
            <w:pPr>
              <w:pStyle w:val="PKTpunkt"/>
            </w:pPr>
            <w:r>
              <w:t>3)</w:t>
            </w:r>
            <w:r>
              <w:tab/>
            </w:r>
            <w:r w:rsidRPr="00A57398">
              <w:t>informację</w:t>
            </w:r>
            <w:r>
              <w:t>,</w:t>
            </w:r>
            <w:r w:rsidRPr="00A57398">
              <w:t xml:space="preserve"> czy wewnętrzna procedura obejmuje przyjmowanie zgłoszeń anonimowych;</w:t>
            </w:r>
          </w:p>
          <w:p w:rsidR="007D70DB" w:rsidRPr="00A57398" w:rsidRDefault="007D70DB" w:rsidP="007D70DB">
            <w:pPr>
              <w:pStyle w:val="PKTpunkt"/>
            </w:pPr>
            <w:r>
              <w:t>4)</w:t>
            </w:r>
            <w:r>
              <w:tab/>
              <w:t xml:space="preserve">niezależny organizacyjnie </w:t>
            </w:r>
            <w:r w:rsidRPr="00A57398">
              <w:t>podmiot</w:t>
            </w:r>
            <w:r>
              <w:t xml:space="preserve">, </w:t>
            </w:r>
            <w:r w:rsidRPr="00A57398">
              <w:t>upoważnion</w:t>
            </w:r>
            <w:r>
              <w:t>y</w:t>
            </w:r>
            <w:r w:rsidRPr="00A57398">
              <w:t xml:space="preserve"> do podejmowania działań </w:t>
            </w:r>
            <w:r w:rsidRPr="00A57398">
              <w:lastRenderedPageBreak/>
              <w:t>następczych, włączając w to weryfikację zgłoszenia i dalszą komunikację ze zgłaszającym, w tym występowanie o dodatkowe informacje i przekazywanie zgłaszającemu informacji zwrotnej; rolę tę może pełnić podmiot, o który</w:t>
            </w:r>
            <w:r>
              <w:t>m</w:t>
            </w:r>
            <w:r w:rsidRPr="00A57398">
              <w:t xml:space="preserve"> mowa w pkt 1</w:t>
            </w:r>
            <w:r>
              <w:t>;</w:t>
            </w:r>
          </w:p>
          <w:p w:rsidR="007D70DB" w:rsidRPr="00A57398" w:rsidRDefault="007D70DB" w:rsidP="007D70DB">
            <w:pPr>
              <w:pStyle w:val="PKTpunkt"/>
            </w:pPr>
            <w:r>
              <w:t>5)</w:t>
            </w:r>
            <w:r>
              <w:tab/>
            </w:r>
            <w:r w:rsidRPr="00A57398">
              <w:t xml:space="preserve">obowiązek potwierdzenia zgłaszającemu przyjęcia zgłoszenia w terminie </w:t>
            </w:r>
            <w:r>
              <w:t>7</w:t>
            </w:r>
            <w:r w:rsidRPr="00A57398">
              <w:t xml:space="preserve"> dni od </w:t>
            </w:r>
            <w:r>
              <w:t>dnia</w:t>
            </w:r>
            <w:r w:rsidRPr="00A57398">
              <w:t xml:space="preserve"> jego otrzymania</w:t>
            </w:r>
            <w:r>
              <w:t>, chyba że zgłaszający nie podał adresu, na który należy przekazać potwierdzenie</w:t>
            </w:r>
            <w:r w:rsidRPr="00A57398">
              <w:t>;</w:t>
            </w:r>
          </w:p>
          <w:p w:rsidR="007D70DB" w:rsidRPr="00A57398" w:rsidRDefault="007D70DB" w:rsidP="007D70DB">
            <w:pPr>
              <w:pStyle w:val="PKTpunkt"/>
            </w:pPr>
            <w:r>
              <w:t>6)</w:t>
            </w:r>
            <w:r>
              <w:tab/>
            </w:r>
            <w:r w:rsidRPr="00A57398">
              <w:t>obowiązek podjęcia, z zachowaniem należytej staranności, działań następczych przez upoważnion</w:t>
            </w:r>
            <w:r>
              <w:t>y</w:t>
            </w:r>
            <w:r w:rsidRPr="00A57398">
              <w:t xml:space="preserve"> podmiot</w:t>
            </w:r>
            <w:r>
              <w:t>, o którym mowa w pkt 4</w:t>
            </w:r>
            <w:r w:rsidRPr="00A57398">
              <w:t>;</w:t>
            </w:r>
          </w:p>
          <w:p w:rsidR="007D70DB" w:rsidRPr="00A57398" w:rsidRDefault="007D70DB" w:rsidP="007D70DB">
            <w:pPr>
              <w:pStyle w:val="PKTpunkt"/>
            </w:pPr>
            <w:r>
              <w:lastRenderedPageBreak/>
              <w:t>7)</w:t>
            </w:r>
            <w:r>
              <w:tab/>
            </w:r>
            <w:r w:rsidRPr="00A57398">
              <w:t>działania następcze podejmowane przez pracodawcę w celu zweryfikowania informacji o naruszeniach</w:t>
            </w:r>
            <w:r>
              <w:t xml:space="preserve"> prawa</w:t>
            </w:r>
            <w:r w:rsidRPr="00A57398">
              <w:t xml:space="preserve"> oraz środk</w:t>
            </w:r>
            <w:r>
              <w:t>i</w:t>
            </w:r>
            <w:r w:rsidRPr="00A57398">
              <w:t>, jakie mogą zostać zastosowane w przypadku stwierdzenia naruszenia</w:t>
            </w:r>
            <w:r>
              <w:t xml:space="preserve"> prawa</w:t>
            </w:r>
            <w:r w:rsidRPr="00A57398">
              <w:t>;</w:t>
            </w:r>
          </w:p>
          <w:p w:rsidR="007D70DB" w:rsidRPr="00A57398" w:rsidRDefault="007D70DB" w:rsidP="007D70DB">
            <w:pPr>
              <w:pStyle w:val="PKTpunkt"/>
            </w:pPr>
            <w:r>
              <w:t>8)</w:t>
            </w:r>
            <w:r>
              <w:tab/>
            </w:r>
            <w:r w:rsidRPr="00A57398">
              <w:t xml:space="preserve">maksymalny termin na przekazanie zgłaszającemu informacji zwrotnej, nieprzekraczający </w:t>
            </w:r>
            <w:r>
              <w:t xml:space="preserve">3 </w:t>
            </w:r>
            <w:r w:rsidRPr="00A57398">
              <w:t xml:space="preserve">miesięcy od potwierdzenia przyjęcia zgłoszenia lub, w przypadku nieprzekazania potwierdzenia zgłaszającemu, </w:t>
            </w:r>
            <w:r>
              <w:t xml:space="preserve">3 </w:t>
            </w:r>
            <w:r w:rsidRPr="00A57398">
              <w:t xml:space="preserve">miesięcy od upływu </w:t>
            </w:r>
            <w:r>
              <w:t xml:space="preserve">7 </w:t>
            </w:r>
            <w:r w:rsidRPr="00A57398">
              <w:t>dni od dokonania zgłoszenia;</w:t>
            </w:r>
          </w:p>
          <w:p w:rsidR="007D70DB" w:rsidRPr="00A57398" w:rsidRDefault="007D70DB" w:rsidP="007D70DB">
            <w:pPr>
              <w:pStyle w:val="PKTpunkt"/>
            </w:pPr>
            <w:r>
              <w:t>9)</w:t>
            </w:r>
            <w:r>
              <w:tab/>
            </w:r>
            <w:r w:rsidRPr="00A57398">
              <w:t xml:space="preserve">zrozumiałe i jednoznaczne informacje na temat trybu dokonywania zgłoszeń </w:t>
            </w:r>
            <w:r w:rsidRPr="00A57398">
              <w:lastRenderedPageBreak/>
              <w:t>zewnętrznych do organów publicznych oraz, w stosownych przypadkach, do instytucji, organów lub jednostek organizacyjnych Unii Europejskiej.</w:t>
            </w:r>
          </w:p>
          <w:p w:rsidR="007D70DB" w:rsidRPr="00A57398" w:rsidRDefault="007D70DB" w:rsidP="007D70DB">
            <w:pPr>
              <w:pStyle w:val="USTustnpkodeksu"/>
            </w:pPr>
            <w:r w:rsidRPr="00A57398">
              <w:t>2. Regulamin zgłoszeń wewnętrznych może dodatkowo objąć w szczególności:</w:t>
            </w:r>
          </w:p>
          <w:p w:rsidR="007D70DB" w:rsidRDefault="007D70DB" w:rsidP="007D70DB">
            <w:pPr>
              <w:pStyle w:val="PKTpunkt"/>
            </w:pPr>
            <w:r>
              <w:t>1)</w:t>
            </w:r>
            <w:r>
              <w:tab/>
            </w:r>
            <w:r w:rsidRPr="00A57398">
              <w:t>wyszczególnienie innych niż pracownicy osób, od których przyjmowane są zgłoszenia zgodnie z regulaminem zgłoszeń wewnętrznych, takich jak</w:t>
            </w:r>
            <w:r>
              <w:t>:</w:t>
            </w:r>
            <w:r w:rsidRPr="00A57398">
              <w:t xml:space="preserve"> byli pracownicy, osoby świadczące pracę na rzecz pracodawcy na innej podstawie niż stosunek pracy, akcjonariusze, wspólnicy, członkowie organu zarządzającego lub organu </w:t>
            </w:r>
            <w:r w:rsidRPr="00A57398">
              <w:lastRenderedPageBreak/>
              <w:t>nadzoru, wolontariusze, stażyści oraz osoby pracujące pod nadzorem i kierownictwem wykonawcy, podwykonawcy i dostawcy</w:t>
            </w:r>
            <w:r>
              <w:t>;</w:t>
            </w:r>
            <w:r w:rsidRPr="00A57398">
              <w:t xml:space="preserve"> </w:t>
            </w:r>
            <w:r>
              <w:t>p</w:t>
            </w:r>
            <w:r w:rsidRPr="00A57398">
              <w:t xml:space="preserve">rzepis art. </w:t>
            </w:r>
            <w:r>
              <w:t>3</w:t>
            </w:r>
            <w:r w:rsidR="00F53AD8">
              <w:t>8</w:t>
            </w:r>
            <w:r w:rsidRPr="00A57398">
              <w:t xml:space="preserve"> ust. </w:t>
            </w:r>
            <w:r>
              <w:t>5</w:t>
            </w:r>
            <w:r w:rsidRPr="00A57398">
              <w:t xml:space="preserve"> stosuje się odpowiednio;</w:t>
            </w:r>
          </w:p>
          <w:p w:rsidR="007D70DB" w:rsidRPr="00A57398" w:rsidRDefault="007D70DB" w:rsidP="007D70DB">
            <w:pPr>
              <w:pStyle w:val="PKTpunkt"/>
            </w:pPr>
            <w:r>
              <w:t>2</w:t>
            </w:r>
            <w:r w:rsidRPr="00595B77">
              <w:t>)</w:t>
            </w:r>
            <w:r>
              <w:tab/>
            </w:r>
            <w:r w:rsidRPr="00595B77">
              <w:t>wyszczególnienie  naruszeń,</w:t>
            </w:r>
            <w:r>
              <w:t xml:space="preserve"> o których mowa w art. 3 ust. 2, jeśli pracodawca ustanowi zgłaszanie takich naruszeń;</w:t>
            </w:r>
          </w:p>
          <w:p w:rsidR="007D70DB" w:rsidRPr="00A57398" w:rsidRDefault="007D70DB" w:rsidP="007D70DB">
            <w:pPr>
              <w:pStyle w:val="PKTpunkt"/>
            </w:pPr>
            <w:r>
              <w:t>3)</w:t>
            </w:r>
            <w:r>
              <w:tab/>
            </w:r>
            <w:r w:rsidRPr="00A57398">
              <w:t>wyszczególnienie czynników ryzyka odpowiadających profilowi działalności pracodawcy sprzyjających możliwości wystąpienia określonych naruszeń</w:t>
            </w:r>
            <w:r>
              <w:t xml:space="preserve"> prawa</w:t>
            </w:r>
            <w:r w:rsidRPr="00A57398">
              <w:t xml:space="preserve"> związanych w szczególności z naruszeniem obowiązków regulacyjnych, innych obowiązków określonych w </w:t>
            </w:r>
            <w:r w:rsidRPr="00A57398">
              <w:lastRenderedPageBreak/>
              <w:t>przepisach prawa</w:t>
            </w:r>
            <w:r>
              <w:t xml:space="preserve"> lub</w:t>
            </w:r>
            <w:r w:rsidRPr="00A57398">
              <w:t xml:space="preserve"> ryzykiem korupcji;</w:t>
            </w:r>
          </w:p>
          <w:p w:rsidR="007D70DB" w:rsidRPr="00A57398" w:rsidRDefault="007D70DB" w:rsidP="007D70DB">
            <w:pPr>
              <w:pStyle w:val="PKTpunkt"/>
            </w:pPr>
            <w:r>
              <w:t>4)</w:t>
            </w:r>
            <w:r>
              <w:tab/>
            </w:r>
            <w:r w:rsidRPr="00A57398">
              <w:t>wyszczególnienie rodzajów naruszeń</w:t>
            </w:r>
            <w:r>
              <w:t xml:space="preserve"> prawa</w:t>
            </w:r>
            <w:r w:rsidRPr="00A57398">
              <w:t xml:space="preserve">, odnośnie do których pracodawca zachęca, by zgłoszenie zostało skierowane w pierwszej kolejności do pracodawcy z wykorzystaniem procedury przewidzianej w regulaminie zgłoszeń wewnętrznych, biorące pod uwagę w szczególności okoliczności wskazane w pkt </w:t>
            </w:r>
            <w:r>
              <w:t>3</w:t>
            </w:r>
            <w:r w:rsidRPr="00A57398">
              <w:t xml:space="preserve">; </w:t>
            </w:r>
          </w:p>
          <w:p w:rsidR="007D70DB" w:rsidRPr="00A57398" w:rsidRDefault="007D70DB" w:rsidP="007D70DB">
            <w:pPr>
              <w:pStyle w:val="PKTpunkt"/>
            </w:pPr>
            <w:r>
              <w:t>5)</w:t>
            </w:r>
            <w:r>
              <w:tab/>
            </w:r>
            <w:r w:rsidRPr="00A57398">
              <w:t>informację, że zgłoszenie może w każdym przypadku nastąpić również do organu publicznego</w:t>
            </w:r>
            <w:r>
              <w:t xml:space="preserve"> lub organu centralnego</w:t>
            </w:r>
            <w:r w:rsidRPr="00A57398">
              <w:t xml:space="preserve"> z pominięciem procedury przewidzianej w regulaminie zgłosze</w:t>
            </w:r>
            <w:r>
              <w:t>ń wewnętrznych, w szczególności</w:t>
            </w:r>
            <w:r w:rsidRPr="00A57398">
              <w:t xml:space="preserve"> gdy:</w:t>
            </w:r>
          </w:p>
          <w:p w:rsidR="007D70DB" w:rsidRPr="00A57398" w:rsidRDefault="007D70DB" w:rsidP="007D70DB">
            <w:pPr>
              <w:pStyle w:val="LITlitera"/>
            </w:pPr>
            <w:r>
              <w:lastRenderedPageBreak/>
              <w:t>a)</w:t>
            </w:r>
            <w:r>
              <w:tab/>
            </w:r>
            <w:r w:rsidRPr="00A57398">
              <w:t>w terminie na przekazanie informacji zwrotnej ustalonym w regulaminie zgłoszeń wewnętrznych pracodawca nie podejmie działań następczych lub nie przekaże zgłaszającemu informacji zwrotnej,</w:t>
            </w:r>
          </w:p>
          <w:p w:rsidR="007D70DB" w:rsidRPr="00A57398" w:rsidRDefault="007D70DB" w:rsidP="007D70DB">
            <w:pPr>
              <w:pStyle w:val="LITlitera"/>
            </w:pPr>
            <w:r>
              <w:t>b)</w:t>
            </w:r>
            <w:r>
              <w:tab/>
            </w:r>
            <w:r w:rsidRPr="00A57398">
              <w:t>zgłaszający ma uzasadnione podstawy by sądzić, że naruszenie</w:t>
            </w:r>
            <w:r>
              <w:t xml:space="preserve"> prawa</w:t>
            </w:r>
            <w:r w:rsidRPr="00A57398">
              <w:t xml:space="preserve"> może stanowić bezpośrednie lub oczywiste zagrożenie dla interesu publicznego, w szczególności istnieje ryzyko nieodwracalnej szkody,</w:t>
            </w:r>
          </w:p>
          <w:p w:rsidR="007D70DB" w:rsidRPr="00A57398" w:rsidRDefault="007D70DB" w:rsidP="007D70DB">
            <w:pPr>
              <w:pStyle w:val="LITlitera"/>
            </w:pPr>
            <w:r>
              <w:t>c)</w:t>
            </w:r>
            <w:r>
              <w:tab/>
            </w:r>
            <w:r w:rsidRPr="00A57398">
              <w:t xml:space="preserve">dokonanie zgłoszenia </w:t>
            </w:r>
            <w:r>
              <w:t>w</w:t>
            </w:r>
            <w:r w:rsidRPr="00A57398">
              <w:t xml:space="preserve">ewnętrznego narazi </w:t>
            </w:r>
            <w:r w:rsidRPr="00A57398">
              <w:lastRenderedPageBreak/>
              <w:t xml:space="preserve">zgłaszającego na działania odwetowe, </w:t>
            </w:r>
          </w:p>
          <w:p w:rsidR="007D70DB" w:rsidRPr="00A57398" w:rsidRDefault="007D70DB" w:rsidP="007D70DB">
            <w:pPr>
              <w:pStyle w:val="LITlitera"/>
            </w:pPr>
            <w:r>
              <w:t>d)</w:t>
            </w:r>
            <w:r>
              <w:tab/>
            </w:r>
            <w:r w:rsidRPr="00A57398">
              <w:t xml:space="preserve">w przypadku dokonania zgłoszenia </w:t>
            </w:r>
            <w:r>
              <w:t>w</w:t>
            </w:r>
            <w:r w:rsidRPr="00A57398">
              <w:t xml:space="preserve">ewnętrznego istnieje niewielkie prawdopodobieństwo skutecznego </w:t>
            </w:r>
            <w:r w:rsidR="00466B81">
              <w:t>przeciwdziałania</w:t>
            </w:r>
            <w:r w:rsidRPr="00A57398">
              <w:t xml:space="preserve"> naruszeniu </w:t>
            </w:r>
            <w:r>
              <w:t xml:space="preserve">prawa </w:t>
            </w:r>
            <w:r w:rsidRPr="00A57398">
              <w:t xml:space="preserve">przez pracodawcę z uwagi na szczególne okoliczności sprawy, takie jak możliwość ukrycia lub zniszczenia dowodów lub możliwość istnienia zmowy między pracodawcą a sprawcą naruszenia </w:t>
            </w:r>
            <w:r>
              <w:t>prawa lub</w:t>
            </w:r>
            <w:r w:rsidRPr="00A57398">
              <w:t xml:space="preserve"> udziału pracodawcy w naruszeniu</w:t>
            </w:r>
            <w:r>
              <w:t xml:space="preserve"> prawa</w:t>
            </w:r>
            <w:r w:rsidRPr="00A57398">
              <w:t>.</w:t>
            </w:r>
          </w:p>
          <w:p w:rsidR="007D70DB" w:rsidRPr="00A57398" w:rsidRDefault="007D70DB" w:rsidP="007D70DB">
            <w:pPr>
              <w:pStyle w:val="USTustnpkodeksu"/>
            </w:pPr>
            <w:r w:rsidRPr="00A57398">
              <w:lastRenderedPageBreak/>
              <w:t>3. Ustanawiając wewnętrzną procedurę</w:t>
            </w:r>
            <w:r>
              <w:t>,</w:t>
            </w:r>
            <w:r w:rsidRPr="00A57398">
              <w:t xml:space="preserve"> pracodawca zapewnia bezstronność weryfikacji zgłoszeń przez podmiot, o który</w:t>
            </w:r>
            <w:r>
              <w:t>m</w:t>
            </w:r>
            <w:r w:rsidRPr="00A57398">
              <w:t xml:space="preserve"> mowa w ust. 1 pkt 1 i 4.</w:t>
            </w:r>
          </w:p>
          <w:p w:rsidR="007D70DB" w:rsidRPr="00A57398" w:rsidRDefault="007D70DB" w:rsidP="007D70DB">
            <w:pPr>
              <w:pStyle w:val="USTustnpkodeksu"/>
            </w:pPr>
            <w:r w:rsidRPr="00A57398">
              <w:t>4. Sposoby przekazywania zgłoszeń, o których mowa w ust. 1 pkt 2</w:t>
            </w:r>
            <w:r>
              <w:t>,</w:t>
            </w:r>
            <w:r w:rsidRPr="00A57398">
              <w:t xml:space="preserve"> obejmują przynajmniej możliwość dokonywania zgłoszeń na piśmie lub ustnie. </w:t>
            </w:r>
          </w:p>
          <w:p w:rsidR="007D70DB" w:rsidRPr="00A57398" w:rsidRDefault="007D70DB" w:rsidP="007D70DB">
            <w:pPr>
              <w:pStyle w:val="USTustnpkodeksu"/>
            </w:pPr>
            <w:r w:rsidRPr="00A57398">
              <w:t>5. Zgłoszenie ustne może być dokonane telefonicznie lub za pośrednictwem innych systemów komunikacji głosowej oraz, na wniosek zgłaszającego, za pomocą bezpośredniego spotkania zorganizowanego w</w:t>
            </w:r>
            <w:r w:rsidR="00F53AD8">
              <w:t xml:space="preserve"> </w:t>
            </w:r>
            <w:r w:rsidRPr="00A57398">
              <w:t>terminie</w:t>
            </w:r>
            <w:r w:rsidR="00F53AD8">
              <w:t xml:space="preserve"> 7 dni od dnia otrzymania </w:t>
            </w:r>
            <w:proofErr w:type="spellStart"/>
            <w:r w:rsidR="00F53AD8">
              <w:t>zgłosznia</w:t>
            </w:r>
            <w:proofErr w:type="spellEnd"/>
            <w:r w:rsidRPr="00A57398">
              <w:t>.</w:t>
            </w:r>
          </w:p>
          <w:p w:rsidR="007D70DB" w:rsidRPr="00A57398" w:rsidRDefault="007D70DB" w:rsidP="007D70DB">
            <w:pPr>
              <w:pStyle w:val="USTustnpkodeksu"/>
            </w:pPr>
            <w:r w:rsidRPr="00A57398">
              <w:t xml:space="preserve">6. Informacja zwrotna, o której mowa w ust. 1 pkt 8, obejmuje w szczególności informację o </w:t>
            </w:r>
            <w:r w:rsidRPr="00A57398">
              <w:lastRenderedPageBreak/>
              <w:t>stwierdzeniu bądź braku stwierdzenia wystąpienia naruszenia</w:t>
            </w:r>
            <w:r>
              <w:t xml:space="preserve"> prawa</w:t>
            </w:r>
            <w:r w:rsidRPr="00A57398">
              <w:t xml:space="preserve"> i ewentualnych środkach, które zostały lub zostaną zastosowane w reakcji na stwierdzone naruszenie</w:t>
            </w:r>
            <w:r>
              <w:t xml:space="preserve"> prawa</w:t>
            </w:r>
            <w:r w:rsidRPr="00A57398">
              <w:t>.</w:t>
            </w:r>
          </w:p>
          <w:p w:rsidR="007D70DB" w:rsidRPr="00A57398" w:rsidRDefault="007D70DB" w:rsidP="00CE0632">
            <w:pPr>
              <w:pStyle w:val="ARTartustawynprozporzdzenia"/>
              <w:ind w:firstLine="0"/>
            </w:pPr>
            <w:r w:rsidRPr="00391239">
              <w:rPr>
                <w:rStyle w:val="Ppogrubienie"/>
              </w:rPr>
              <w:t>Art. 3</w:t>
            </w:r>
            <w:r>
              <w:rPr>
                <w:rStyle w:val="Ppogrubienie"/>
              </w:rPr>
              <w:t>0</w:t>
            </w:r>
            <w:r w:rsidRPr="00391239">
              <w:rPr>
                <w:rStyle w:val="Ppogrubienie"/>
              </w:rPr>
              <w:t>.</w:t>
            </w:r>
            <w:r w:rsidRPr="00A57398">
              <w:t xml:space="preserve"> 1. Organizacja przyjmowania i weryfikacji zgłoszeń, podejmowania działań następczych oraz związanego z tym przetwarzania danych osobowych uniemożliwia uzyskanie dostępu do informacji objętej zgłoszeniem nieupoważnionym osobom oraz zapewnia ochronę poufności tożsamości osoby dokonującej zgłoszenia i osoby, której dotyczy zgłoszenie. Ochrona poufności dotyczy informacji, na podstawie których można bezpośrednio lub pośrednio zidentyfikować tożsamość takich osób. </w:t>
            </w:r>
          </w:p>
          <w:p w:rsidR="007D70DB" w:rsidRPr="00A57398" w:rsidRDefault="007D70DB" w:rsidP="007D70DB">
            <w:pPr>
              <w:pStyle w:val="USTustnpkodeksu"/>
            </w:pPr>
            <w:r w:rsidRPr="00A57398">
              <w:lastRenderedPageBreak/>
              <w:t>2. Do przyjmowania i weryfikacji zgłoszeń, podejmowania działań następczych oraz przetwarzania danych osobowych osób, o których mowa w ust. 1, mogą być dopuszczone wyłącznie osoby posiadające pisemne upoważnienie pracodawcy. Osoby upoważnione są obowiązane do zachowania tajemnicy.</w:t>
            </w:r>
          </w:p>
          <w:p w:rsidR="007D70DB" w:rsidRPr="00A57398" w:rsidRDefault="007D70DB" w:rsidP="007D70DB">
            <w:pPr>
              <w:pStyle w:val="USTustnpkodeksu"/>
            </w:pPr>
            <w:r w:rsidRPr="00A57398">
              <w:t xml:space="preserve">3. Pracodawca stosuje rozwiązania techniczne i organizacyjne zapewniające przechowywanie danych osobowych zgłaszającego oddzielnie od dokumentu lub innego nośnika informacji obejmujących zgłoszenie, włączając w to, w odpowiednim przypadku, usunięcie z treści dokumentu lub innego nośnika informacji niezwłocznie po ich </w:t>
            </w:r>
            <w:r w:rsidRPr="00A57398">
              <w:lastRenderedPageBreak/>
              <w:t>otrzymaniu wszystkich danych osobowych zgłaszającego.</w:t>
            </w:r>
          </w:p>
          <w:p w:rsidR="007D70DB" w:rsidRPr="00A57398" w:rsidRDefault="007D70DB" w:rsidP="00CE0632">
            <w:pPr>
              <w:pStyle w:val="ARTartustawynprozporzdzenia"/>
              <w:ind w:firstLine="0"/>
            </w:pPr>
            <w:r w:rsidRPr="00391239">
              <w:rPr>
                <w:rStyle w:val="Ppogrubienie"/>
              </w:rPr>
              <w:t>Art. 3</w:t>
            </w:r>
            <w:r>
              <w:rPr>
                <w:rStyle w:val="Ppogrubienie"/>
              </w:rPr>
              <w:t>1</w:t>
            </w:r>
            <w:r w:rsidRPr="00391239">
              <w:rPr>
                <w:rStyle w:val="Ppogrubienie"/>
              </w:rPr>
              <w:t>.</w:t>
            </w:r>
            <w:r w:rsidRPr="00A57398">
              <w:t xml:space="preserve"> Zgłoszenie dokonane do organu publicznego </w:t>
            </w:r>
            <w:r>
              <w:t xml:space="preserve">lub organu centralnego </w:t>
            </w:r>
            <w:r w:rsidRPr="00A57398">
              <w:t>z pominięciem procedury określonej w regulaminie zgłoszeń wewnętrznych nie skutkuje pozbawieniem zgłaszającego ochrony przewidzianej w ustawie.</w:t>
            </w:r>
          </w:p>
          <w:p w:rsidR="007D70DB" w:rsidRPr="00A57398" w:rsidRDefault="007D70DB" w:rsidP="00CE0632">
            <w:pPr>
              <w:pStyle w:val="ARTartustawynprozporzdzenia"/>
              <w:ind w:firstLine="0"/>
            </w:pPr>
            <w:r w:rsidRPr="00391239">
              <w:rPr>
                <w:rStyle w:val="Ppogrubienie"/>
              </w:rPr>
              <w:t>Art. 3</w:t>
            </w:r>
            <w:r>
              <w:rPr>
                <w:rStyle w:val="Ppogrubienie"/>
              </w:rPr>
              <w:t>2</w:t>
            </w:r>
            <w:r w:rsidRPr="00391239">
              <w:rPr>
                <w:rStyle w:val="Ppogrubienie"/>
              </w:rPr>
              <w:t>.</w:t>
            </w:r>
            <w:r>
              <w:t xml:space="preserve"> 1.</w:t>
            </w:r>
            <w:r w:rsidRPr="00A57398">
              <w:t xml:space="preserve"> Upoważnienie podmiotu, o który</w:t>
            </w:r>
            <w:r>
              <w:t>m</w:t>
            </w:r>
            <w:r w:rsidRPr="00A57398">
              <w:t xml:space="preserve"> mowa w art. </w:t>
            </w:r>
            <w:r>
              <w:t>29</w:t>
            </w:r>
            <w:r w:rsidRPr="00A57398">
              <w:t xml:space="preserve"> ust. 1 pkt 1 i 4,</w:t>
            </w:r>
            <w:r>
              <w:t xml:space="preserve"> innego niż pracownik lub wewnętrzna jednostka organizacyjna pracodawcy,</w:t>
            </w:r>
            <w:r w:rsidRPr="00A57398">
              <w:t xml:space="preserve"> wymaga zawarcia umowy, w której pracodawca powierza wykonywanie czynności wymienionych w </w:t>
            </w:r>
            <w:r>
              <w:t>niniejszym</w:t>
            </w:r>
            <w:r w:rsidRPr="00A57398">
              <w:t xml:space="preserve"> rozdziale </w:t>
            </w:r>
            <w:r>
              <w:t>z</w:t>
            </w:r>
            <w:r w:rsidRPr="00A57398">
              <w:t xml:space="preserve"> zastosowani</w:t>
            </w:r>
            <w:r>
              <w:t>em</w:t>
            </w:r>
            <w:r w:rsidRPr="00A57398">
              <w:t xml:space="preserve"> rozwiązań technicznych i organizacyjnych zapewniających zgodność tych czynności z ustawą.</w:t>
            </w:r>
          </w:p>
          <w:p w:rsidR="007D70DB" w:rsidRPr="00A57398" w:rsidRDefault="007D70DB" w:rsidP="007D70DB">
            <w:pPr>
              <w:pStyle w:val="USTustnpkodeksu"/>
            </w:pPr>
            <w:r w:rsidRPr="00A57398">
              <w:lastRenderedPageBreak/>
              <w:t>2. Zawarcie umowy nie uchyla odpowiedzialności pracodawcy za dochowanie obowiązków określonych w niniejszym rozdziale, w szczególności zachowanie poufności, udzielenie informacji zwrotnej oraz podjęcie działań następczych.</w:t>
            </w:r>
          </w:p>
          <w:p w:rsidR="007D70DB" w:rsidRPr="00A57398" w:rsidRDefault="007D70DB" w:rsidP="00CE0632">
            <w:pPr>
              <w:pStyle w:val="ARTartustawynprozporzdzenia"/>
              <w:ind w:firstLine="0"/>
            </w:pPr>
            <w:r w:rsidRPr="00391239">
              <w:rPr>
                <w:rStyle w:val="Ppogrubienie"/>
              </w:rPr>
              <w:t>Art. 3</w:t>
            </w:r>
            <w:r>
              <w:rPr>
                <w:rStyle w:val="Ppogrubienie"/>
              </w:rPr>
              <w:t>3</w:t>
            </w:r>
            <w:r w:rsidRPr="00391239">
              <w:rPr>
                <w:rStyle w:val="Ppogrubienie"/>
              </w:rPr>
              <w:t>.</w:t>
            </w:r>
            <w:r w:rsidRPr="00A57398">
              <w:t xml:space="preserve"> 1. Pracodawcy w sektorze prywatnym, którzy zatrudniają co najmniej 50, lecz nie więcej niż 249 pracowników, mogą na podstawie umowy dzielić się zasobami w zakresie przyjmowania i weryfikacji zgłoszeń oraz podejmowania działań następczych, pod warunkiem zapewnienia zgodności wykonywanych czynności z ustawą.</w:t>
            </w:r>
          </w:p>
          <w:p w:rsidR="007D70DB" w:rsidRDefault="007D70DB" w:rsidP="007D70DB">
            <w:pPr>
              <w:pStyle w:val="USTustnpkodeksu"/>
            </w:pPr>
            <w:r w:rsidRPr="00A57398">
              <w:t>2. Zawarcie umowy</w:t>
            </w:r>
            <w:r>
              <w:t>, o której mowa w ust. 1,</w:t>
            </w:r>
            <w:r w:rsidRPr="00A57398">
              <w:t xml:space="preserve"> nie uchyla odpowiedzialności pracodawcy za </w:t>
            </w:r>
            <w:r w:rsidRPr="00A57398">
              <w:lastRenderedPageBreak/>
              <w:t>dochowanie obowiązków określonych w niniejszym rozdziale, w szczególności zachowani</w:t>
            </w:r>
            <w:r>
              <w:t>a</w:t>
            </w:r>
            <w:r w:rsidRPr="00A57398">
              <w:t xml:space="preserve"> poufności, udzieleni</w:t>
            </w:r>
            <w:r>
              <w:t>a</w:t>
            </w:r>
            <w:r w:rsidRPr="00A57398">
              <w:t xml:space="preserve"> informacji zwrotnej oraz podjęci</w:t>
            </w:r>
            <w:r>
              <w:t>a</w:t>
            </w:r>
            <w:r w:rsidRPr="00A57398">
              <w:t xml:space="preserve"> działań następczych.</w:t>
            </w:r>
          </w:p>
          <w:p w:rsidR="008F2D63" w:rsidRPr="008B0F02" w:rsidRDefault="008F2D63" w:rsidP="00BE1FB3">
            <w:pPr>
              <w:pStyle w:val="ARTartustawynprozporzdzenia"/>
              <w:spacing w:line="240" w:lineRule="auto"/>
              <w:ind w:firstLine="0"/>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9</w:t>
            </w:r>
          </w:p>
        </w:tc>
        <w:tc>
          <w:tcPr>
            <w:tcW w:w="5953" w:type="dxa"/>
          </w:tcPr>
          <w:p w:rsidR="009C62C8" w:rsidRPr="009C62C8" w:rsidRDefault="009C62C8" w:rsidP="009C62C8">
            <w:pPr>
              <w:widowControl/>
              <w:shd w:val="clear" w:color="auto" w:fill="FFFFFF"/>
              <w:autoSpaceDE/>
              <w:autoSpaceDN/>
              <w:adjustRightInd/>
              <w:spacing w:before="120" w:line="240" w:lineRule="auto"/>
              <w:jc w:val="center"/>
              <w:rPr>
                <w:rFonts w:asciiTheme="minorHAnsi" w:hAnsiTheme="minorHAnsi" w:cstheme="minorHAnsi"/>
                <w:b/>
                <w:color w:val="444444"/>
                <w:szCs w:val="24"/>
                <w:lang w:eastAsia="pl-PL"/>
              </w:rPr>
            </w:pPr>
            <w:r w:rsidRPr="009C62C8">
              <w:rPr>
                <w:rFonts w:asciiTheme="minorHAnsi" w:hAnsiTheme="minorHAnsi" w:cstheme="minorHAnsi"/>
                <w:b/>
                <w:color w:val="444444"/>
                <w:szCs w:val="24"/>
                <w:lang w:eastAsia="pl-PL"/>
              </w:rPr>
              <w:t>Procedury na potrzeby zgłoszeń wewnętrznych i działań następczych</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   Procedury na potrzeby zgłoszeń wewnętrznych i działań następczych, o których mowa w art. 8, obejmują następujące elementy:</w:t>
            </w: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219" w:type="dxa"/>
                  <w:shd w:val="clear" w:color="auto" w:fill="auto"/>
                  <w:hideMark/>
                </w:tcPr>
                <w:p w:rsidR="008F2D63" w:rsidRPr="00AD24FA" w:rsidRDefault="00172BF2"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kanały przyjmowania zgłoszeń zaprojektowane, ustanowione i obsługiwane w bezpieczny sposób zapewniający ochronę poufności tożsamości osoby dokonującej zgłoszenia i osoby trzeciej wymienionej w zgłoszeniu oraz uniemożliwiający uzyskanie do nich dostępu nieupoważnionym członkom personelu;</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8F2D63" w:rsidRPr="00AD24FA" w:rsidRDefault="00172BF2"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potwierdzenie osobie dokonującej zgłoszenia przyjęcia zgłoszenia w terminie siedmiu dni od jego otrzymania;</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c</w:t>
                  </w:r>
                </w:p>
              </w:tc>
              <w:tc>
                <w:tcPr>
                  <w:tcW w:w="9219" w:type="dxa"/>
                  <w:shd w:val="clear" w:color="auto" w:fill="auto"/>
                  <w:hideMark/>
                </w:tcPr>
                <w:p w:rsidR="008F2D63" w:rsidRPr="00AD24FA" w:rsidRDefault="00172BF2"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 xml:space="preserve">wyznaczenie bezstronnej osoby lub bezstronnego wydziału właściwych do podejmowania działań następczych w związku ze zgłoszeniami, przy czym może to być ta sama osoba lub ten sam wydział, które przyjmują zgłoszenia, które będą komunikować się z osobą </w:t>
                  </w:r>
                  <w:r w:rsidR="008F2D63" w:rsidRPr="00AD24FA">
                    <w:rPr>
                      <w:rFonts w:asciiTheme="minorHAnsi" w:hAnsiTheme="minorHAnsi" w:cstheme="minorHAnsi"/>
                      <w:szCs w:val="24"/>
                      <w:lang w:eastAsia="pl-PL"/>
                    </w:rPr>
                    <w:lastRenderedPageBreak/>
                    <w:t>dokonującą zgłoszenia i w stosownych przypadkach zwracać się do osoby dokonującej zgłoszenia o dalsze informacje oraz przekazywać jej informacje zwrotne;</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d</w:t>
                  </w:r>
                </w:p>
              </w:tc>
              <w:tc>
                <w:tcPr>
                  <w:tcW w:w="9206" w:type="dxa"/>
                  <w:shd w:val="clear" w:color="auto" w:fill="auto"/>
                  <w:hideMark/>
                </w:tcPr>
                <w:p w:rsidR="008F2D63" w:rsidRPr="00AD24FA" w:rsidRDefault="00172BF2"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 xml:space="preserve">podejmowanie z zachowaniem należytej </w:t>
                  </w:r>
                  <w:proofErr w:type="spellStart"/>
                  <w:r w:rsidR="008F2D63" w:rsidRPr="00AD24FA">
                    <w:rPr>
                      <w:rFonts w:asciiTheme="minorHAnsi" w:hAnsiTheme="minorHAnsi" w:cstheme="minorHAnsi"/>
                      <w:szCs w:val="24"/>
                      <w:lang w:eastAsia="pl-PL"/>
                    </w:rPr>
                    <w:t>starannośc</w:t>
                  </w:r>
                  <w:proofErr w:type="spellEnd"/>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 xml:space="preserve"> działań następczych przez wyznaczoną osobę lub wyznaczony wydział, o których mowa w lit. c);</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e</w:t>
                  </w:r>
                </w:p>
              </w:tc>
              <w:tc>
                <w:tcPr>
                  <w:tcW w:w="9219"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podejmowanie z zachowaniem należytej staranności działań następczych, jeżeli prawo krajowe przewiduje takie działania, w odniesieniu do zgłoszeń anonimowych;</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05"/>
              <w:gridCol w:w="5632"/>
            </w:tblGrid>
            <w:tr w:rsidR="008F2D63" w:rsidRPr="00AD24FA" w:rsidTr="008F2D63">
              <w:tc>
                <w:tcPr>
                  <w:tcW w:w="16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f</w:t>
                  </w:r>
                </w:p>
              </w:tc>
              <w:tc>
                <w:tcPr>
                  <w:tcW w:w="9246"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rozsądny termin na przekazanie informacji zwrotnych,</w:t>
                  </w: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nieprzekraczający trzech miesięcy od potwierdzenia otrzymania zgłoszenia lub, w przypadku niewysłania potwierdzenia do osoby dokonującej zgłoszenia, trzech miesięcy od upływu 7 dni od dokonania zgłoszenia;</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g</w:t>
                  </w:r>
                </w:p>
              </w:tc>
              <w:tc>
                <w:tcPr>
                  <w:tcW w:w="9206"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zapewnienie zrozumiałych i łatwo dostępnych informacji na temat procedur na potrzeby dokonywania zgłoszeń zewnętrznych do właściwych organów zgodnie z art. 10 oraz, w stosownych przypadkach, do instytucji, organów lub jednostek organizacyjnych Unii.</w:t>
                  </w:r>
                </w:p>
              </w:tc>
            </w:tr>
          </w:tbl>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2.   Kanały przewidziane w ust. 1 lit. a) muszą umożliwiać dokonywanie zgłoszeń na piśmie lub ustnie. Zgłoszenie ustne może być dokonane telefonicznie lub za pośrednictwem innych systemów komunikacji głosowej oraz, na wniosek osoby dokonującej zgłoszenia, za pomocą bezpośredniego spotkania zorganizowanego w rozsądnym terminie.</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684B34"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684B34"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t xml:space="preserve">Art. </w:t>
            </w:r>
            <w:r w:rsidR="00141A5E">
              <w:rPr>
                <w:rFonts w:asciiTheme="minorHAnsi" w:hAnsiTheme="minorHAnsi" w:cstheme="minorHAnsi"/>
                <w:b/>
                <w:szCs w:val="24"/>
              </w:rPr>
              <w:t>18</w:t>
            </w:r>
            <w:r w:rsidR="00E50A77">
              <w:rPr>
                <w:rFonts w:asciiTheme="minorHAnsi" w:hAnsiTheme="minorHAnsi" w:cstheme="minorHAnsi"/>
                <w:b/>
                <w:szCs w:val="24"/>
              </w:rPr>
              <w:t xml:space="preserve"> oraz art. </w:t>
            </w:r>
            <w:r w:rsidR="00663813" w:rsidRPr="00AD24FA">
              <w:rPr>
                <w:rFonts w:asciiTheme="minorHAnsi" w:hAnsiTheme="minorHAnsi" w:cstheme="minorHAnsi"/>
                <w:b/>
                <w:szCs w:val="24"/>
              </w:rPr>
              <w:t>3</w:t>
            </w:r>
            <w:r w:rsidR="007D70DB">
              <w:rPr>
                <w:rFonts w:asciiTheme="minorHAnsi" w:hAnsiTheme="minorHAnsi" w:cstheme="minorHAnsi"/>
                <w:b/>
                <w:szCs w:val="24"/>
              </w:rPr>
              <w:t>0</w:t>
            </w:r>
            <w:r w:rsidR="00BE1FB3">
              <w:rPr>
                <w:rFonts w:asciiTheme="minorHAnsi" w:hAnsiTheme="minorHAnsi" w:cstheme="minorHAnsi"/>
                <w:b/>
                <w:szCs w:val="24"/>
              </w:rPr>
              <w:t xml:space="preserve"> i art. 34</w:t>
            </w:r>
          </w:p>
        </w:tc>
        <w:tc>
          <w:tcPr>
            <w:tcW w:w="3827" w:type="dxa"/>
          </w:tcPr>
          <w:p w:rsidR="00141A5E" w:rsidRPr="00A57398" w:rsidRDefault="00141A5E" w:rsidP="00657C87">
            <w:pPr>
              <w:pStyle w:val="ARTartustawynprozporzdzenia"/>
              <w:ind w:firstLine="0"/>
            </w:pPr>
            <w:r w:rsidRPr="00CD170F">
              <w:rPr>
                <w:rStyle w:val="Ppogrubienie"/>
              </w:rPr>
              <w:t xml:space="preserve">Art. </w:t>
            </w:r>
            <w:r>
              <w:rPr>
                <w:rStyle w:val="Ppogrubienie"/>
              </w:rPr>
              <w:t>18</w:t>
            </w:r>
            <w:r w:rsidRPr="00CD170F">
              <w:rPr>
                <w:rStyle w:val="Ppogrubienie"/>
              </w:rPr>
              <w:t>.</w:t>
            </w:r>
            <w:r w:rsidRPr="00A57398">
              <w:t xml:space="preserve"> </w:t>
            </w:r>
            <w:r>
              <w:t>Dokonanie z</w:t>
            </w:r>
            <w:r w:rsidRPr="00A57398">
              <w:t>głoszeni</w:t>
            </w:r>
            <w:r>
              <w:t>a</w:t>
            </w:r>
            <w:r w:rsidRPr="00A57398">
              <w:t xml:space="preserve"> </w:t>
            </w:r>
            <w:r>
              <w:t xml:space="preserve">lub ujawnienia publicznego </w:t>
            </w:r>
            <w:r w:rsidRPr="00A57398">
              <w:t>nie może stanowić podstawy odpowiedzialnośc</w:t>
            </w:r>
            <w:r>
              <w:t>i, w tym odpowiedzialności za szkodę,</w:t>
            </w:r>
            <w:r w:rsidRPr="00A57398">
              <w:t xml:space="preserve"> z tytułu naruszenia praw innych osób lub obowiązków określonych w przepisach prawa, w szczególności w przedmiocie zniesławienia, naruszenia dóbr osobistych, praw autorskich, przepisów o ochronie danych </w:t>
            </w:r>
            <w:r>
              <w:t xml:space="preserve">osobowych </w:t>
            </w:r>
            <w:r w:rsidRPr="00A57398">
              <w:t xml:space="preserve">oraz obowiązku zachowania tajemnicy, w tym tajemnicy przedsiębiorstwa, pod </w:t>
            </w:r>
            <w:r w:rsidRPr="00A57398">
              <w:lastRenderedPageBreak/>
              <w:t xml:space="preserve">warunkiem że zgłaszający miał uzasadnione podstawy, by sądzić, że zgłoszenie </w:t>
            </w:r>
            <w:r>
              <w:t xml:space="preserve">lub ujawnienie publiczne </w:t>
            </w:r>
            <w:r w:rsidRPr="00A57398">
              <w:t>jest niezbędne do ujawnienia naruszenia</w:t>
            </w:r>
            <w:r>
              <w:t xml:space="preserve"> prawa</w:t>
            </w:r>
            <w:r w:rsidRPr="00A57398">
              <w:t xml:space="preserve"> zgodnie z ustawą.</w:t>
            </w:r>
          </w:p>
          <w:p w:rsidR="007D70DB" w:rsidRPr="00A57398" w:rsidRDefault="007D70DB" w:rsidP="00496190">
            <w:pPr>
              <w:pStyle w:val="ARTartustawynprozporzdzenia"/>
              <w:ind w:firstLine="0"/>
            </w:pPr>
            <w:r w:rsidRPr="00391239">
              <w:rPr>
                <w:rStyle w:val="Ppogrubienie"/>
              </w:rPr>
              <w:t>Art. 3</w:t>
            </w:r>
            <w:r>
              <w:rPr>
                <w:rStyle w:val="Ppogrubienie"/>
              </w:rPr>
              <w:t>0</w:t>
            </w:r>
            <w:r w:rsidRPr="00391239">
              <w:rPr>
                <w:rStyle w:val="Ppogrubienie"/>
              </w:rPr>
              <w:t>.</w:t>
            </w:r>
            <w:r w:rsidRPr="00A57398">
              <w:t xml:space="preserve"> 1. Organizacja przyjmowania i weryfikacji zgłoszeń, podejmowania działań następczych oraz związanego z tym przetwarzania danych osobowych uniemożliwia uzyskanie dostępu do informacji objętej zgłoszeniem nieupoważnionym osobom oraz zapewnia ochronę poufności tożsamości osoby dokonującej zgłoszenia i osoby, której dotyczy zgłoszenie. Ochrona poufności dotyczy informacji, na podstawie których można bezpośrednio lub pośrednio zidentyfikować tożsamość takich osób. </w:t>
            </w:r>
          </w:p>
          <w:p w:rsidR="007D70DB" w:rsidRPr="00A57398" w:rsidRDefault="007D70DB" w:rsidP="007D70DB">
            <w:pPr>
              <w:pStyle w:val="USTustnpkodeksu"/>
            </w:pPr>
            <w:r w:rsidRPr="00A57398">
              <w:lastRenderedPageBreak/>
              <w:t>2. Do przyjmowania i weryfikacji zgłoszeń, podejmowania działań następczych oraz przetwarzania danych osobowych osób, o których mowa w ust. 1, mogą być dopuszczone wyłącznie osoby posiadające pisemne upoważnienie pracodawcy. Osoby upoważnione są obowiązane do zachowania tajemnicy.</w:t>
            </w:r>
          </w:p>
          <w:p w:rsidR="007D70DB" w:rsidRDefault="007D70DB" w:rsidP="007D70DB">
            <w:pPr>
              <w:pStyle w:val="USTustnpkodeksu"/>
            </w:pPr>
            <w:r w:rsidRPr="00A57398">
              <w:t xml:space="preserve">3. Pracodawca stosuje rozwiązania techniczne i organizacyjne zapewniające przechowywanie danych osobowych zgłaszającego oddzielnie od dokumentu lub innego nośnika informacji obejmujących zgłoszenie, włączając w to, w odpowiednim przypadku, usunięcie z treści dokumentu lub innego nośnika informacji niezwłocznie po ich </w:t>
            </w:r>
            <w:r w:rsidRPr="00A57398">
              <w:lastRenderedPageBreak/>
              <w:t>otrzymaniu wszystkich danych osobowych zgłaszającego.</w:t>
            </w:r>
          </w:p>
          <w:p w:rsidR="00BE1FB3" w:rsidRPr="00E10630" w:rsidRDefault="00BE1FB3" w:rsidP="00BE1FB3">
            <w:pPr>
              <w:pStyle w:val="USTustnpkodeksu"/>
              <w:ind w:firstLine="0"/>
            </w:pPr>
            <w:r w:rsidRPr="003967FE">
              <w:rPr>
                <w:rStyle w:val="Ppogrubienie"/>
              </w:rPr>
              <w:t>Art. 34.</w:t>
            </w:r>
            <w:r w:rsidRPr="00E10630">
              <w:t xml:space="preserve"> 1. </w:t>
            </w:r>
            <w:r>
              <w:t>Pracodawca</w:t>
            </w:r>
            <w:r w:rsidRPr="00E10630">
              <w:t>:</w:t>
            </w:r>
          </w:p>
          <w:p w:rsidR="00BE1FB3" w:rsidRPr="00E10630" w:rsidRDefault="00BE1FB3" w:rsidP="00BE1FB3">
            <w:pPr>
              <w:pStyle w:val="USTustnpkodeksu"/>
            </w:pPr>
            <w:r w:rsidRPr="00E10630">
              <w:t>1)</w:t>
            </w:r>
            <w:r w:rsidRPr="00E10630">
              <w:tab/>
              <w:t xml:space="preserve">prowadzi rejestr zgłoszeń </w:t>
            </w:r>
            <w:r>
              <w:t>we</w:t>
            </w:r>
            <w:r w:rsidRPr="00E10630">
              <w:t>wnętrznych;</w:t>
            </w:r>
          </w:p>
          <w:p w:rsidR="00BE1FB3" w:rsidRPr="00E10630" w:rsidRDefault="00BE1FB3" w:rsidP="00BE1FB3">
            <w:pPr>
              <w:pStyle w:val="USTustnpkodeksu"/>
            </w:pPr>
            <w:r w:rsidRPr="00E10630">
              <w:t>2)</w:t>
            </w:r>
            <w:r w:rsidRPr="00E10630">
              <w:tab/>
              <w:t>jest administratorem danych zgromadzonych w tym rejestrze.</w:t>
            </w:r>
          </w:p>
          <w:p w:rsidR="00BE1FB3" w:rsidRPr="00E10630" w:rsidRDefault="00BE1FB3" w:rsidP="00BE1FB3">
            <w:pPr>
              <w:pStyle w:val="USTustnpkodeksu"/>
            </w:pPr>
            <w:r w:rsidRPr="00E10630">
              <w:t xml:space="preserve">2. </w:t>
            </w:r>
            <w:r>
              <w:t xml:space="preserve">Pracodawca </w:t>
            </w:r>
            <w:r w:rsidRPr="00E10630">
              <w:t>może upoważnić p</w:t>
            </w:r>
            <w:r>
              <w:t xml:space="preserve">odmiot, o którym mowa w art. 29 ust. 1 pkt 1 lub 4, </w:t>
            </w:r>
            <w:r w:rsidRPr="00E10630">
              <w:t xml:space="preserve">do prowadzenia rejestru zgłoszeń </w:t>
            </w:r>
            <w:r>
              <w:t>we</w:t>
            </w:r>
            <w:r w:rsidRPr="00E10630">
              <w:t>wnętrznych.</w:t>
            </w:r>
          </w:p>
          <w:p w:rsidR="00BE1FB3" w:rsidRPr="00E10630" w:rsidRDefault="00BE1FB3" w:rsidP="00BE1FB3">
            <w:pPr>
              <w:pStyle w:val="USTustnpkodeksu"/>
            </w:pPr>
            <w:r w:rsidRPr="00E10630">
              <w:t xml:space="preserve">3. Wpisu do rejestru zgłoszeń </w:t>
            </w:r>
            <w:r>
              <w:t>w</w:t>
            </w:r>
            <w:r w:rsidRPr="00E10630">
              <w:t xml:space="preserve">ewnętrznych dokonuje się na podstawie zgłoszenia </w:t>
            </w:r>
            <w:r>
              <w:t>w</w:t>
            </w:r>
            <w:r w:rsidRPr="00E10630">
              <w:t xml:space="preserve">ewnętrznego. </w:t>
            </w:r>
          </w:p>
          <w:p w:rsidR="00BE1FB3" w:rsidRPr="00E10630" w:rsidRDefault="00BE1FB3" w:rsidP="00BE1FB3">
            <w:pPr>
              <w:pStyle w:val="USTustnpkodeksu"/>
            </w:pPr>
            <w:r w:rsidRPr="00E10630">
              <w:t xml:space="preserve">4. W rejestrze zgłoszeń </w:t>
            </w:r>
            <w:r>
              <w:t>w</w:t>
            </w:r>
            <w:r w:rsidRPr="00E10630">
              <w:t>ewnętrznych gromadzi się następujące dane:</w:t>
            </w:r>
          </w:p>
          <w:p w:rsidR="00BE1FB3" w:rsidRPr="00E10630" w:rsidRDefault="00BE1FB3" w:rsidP="00BE1FB3">
            <w:pPr>
              <w:pStyle w:val="USTustnpkodeksu"/>
            </w:pPr>
            <w:r w:rsidRPr="00E10630">
              <w:t>1)</w:t>
            </w:r>
            <w:r w:rsidRPr="00E10630">
              <w:tab/>
              <w:t>numer sprawy;</w:t>
            </w:r>
          </w:p>
          <w:p w:rsidR="00BE1FB3" w:rsidRPr="00E10630" w:rsidRDefault="00BE1FB3" w:rsidP="00BE1FB3">
            <w:pPr>
              <w:pStyle w:val="USTustnpkodeksu"/>
            </w:pPr>
            <w:r w:rsidRPr="00E10630">
              <w:t>2)</w:t>
            </w:r>
            <w:r w:rsidRPr="00E10630">
              <w:tab/>
              <w:t>przedmiot naruszenia;</w:t>
            </w:r>
          </w:p>
          <w:p w:rsidR="00BE1FB3" w:rsidRPr="00E10630" w:rsidRDefault="00BE1FB3" w:rsidP="00BE1FB3">
            <w:pPr>
              <w:pStyle w:val="USTustnpkodeksu"/>
            </w:pPr>
            <w:r w:rsidRPr="00E10630">
              <w:lastRenderedPageBreak/>
              <w:t>3)</w:t>
            </w:r>
            <w:r w:rsidRPr="00E10630">
              <w:tab/>
              <w:t xml:space="preserve">datę dokonania zgłoszenia </w:t>
            </w:r>
            <w:r>
              <w:t>we</w:t>
            </w:r>
            <w:r w:rsidRPr="00E10630">
              <w:t>wnętrznego;</w:t>
            </w:r>
          </w:p>
          <w:p w:rsidR="00BE1FB3" w:rsidRPr="00E10630" w:rsidRDefault="00BE1FB3" w:rsidP="00BE1FB3">
            <w:pPr>
              <w:pStyle w:val="USTustnpkodeksu"/>
            </w:pPr>
            <w:r w:rsidRPr="00E10630">
              <w:t>4)</w:t>
            </w:r>
            <w:r w:rsidRPr="00E10630">
              <w:tab/>
            </w:r>
            <w:r>
              <w:t xml:space="preserve">informację o podjętych działaniach następczych;  </w:t>
            </w:r>
          </w:p>
          <w:p w:rsidR="00BE1FB3" w:rsidRPr="00E10630" w:rsidRDefault="00BE1FB3" w:rsidP="00BE1FB3">
            <w:pPr>
              <w:pStyle w:val="USTustnpkodeksu"/>
            </w:pPr>
            <w:r w:rsidRPr="00E10630">
              <w:t>5)</w:t>
            </w:r>
            <w:r w:rsidRPr="00E10630">
              <w:tab/>
              <w:t>datę zakończenia sprawy</w:t>
            </w:r>
            <w:r>
              <w:t>.</w:t>
            </w:r>
          </w:p>
          <w:p w:rsidR="00BE1FB3" w:rsidRPr="00A57398" w:rsidRDefault="00BE1FB3" w:rsidP="00BE1FB3">
            <w:pPr>
              <w:pStyle w:val="USTustnpkodeksu"/>
            </w:pPr>
            <w:r w:rsidRPr="00E10630">
              <w:t xml:space="preserve">6. Dane w rejestrze zgłoszeń </w:t>
            </w:r>
            <w:r>
              <w:t>we</w:t>
            </w:r>
            <w:r w:rsidRPr="00E10630">
              <w:t xml:space="preserve">wnętrznych są przechowane przez okres 5 lat od dnia przyjęcia zgłoszenia. </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10</w:t>
            </w:r>
          </w:p>
        </w:tc>
        <w:tc>
          <w:tcPr>
            <w:tcW w:w="5953" w:type="dxa"/>
          </w:tcPr>
          <w:p w:rsidR="008F2D63" w:rsidRPr="00AD24FA" w:rsidRDefault="008F2D63"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Zgłaszanie za pośrednictwem zewnętrznych kanałów dokonywania zgłoszeń</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Bez uszczerbku dla art. 15 ust. 1 lit b) osoby dokonujące zgłoszenia zgłaszają informacje na temat naruszeń korzystając z kanałów i procedur, o których mowa w art. 11 i 12, po uprzednim dokonaniu zgłoszenia za pośrednictwem wewnętrznego kanału dokonywania zgłoszeń lub dokonując zgłoszenia od razu za pośrednictwem zewnętrznego kanału dokonywania zgłoszeń.</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684B34" w:rsidP="00AD24FA">
            <w:pPr>
              <w:spacing w:line="240" w:lineRule="auto"/>
              <w:rPr>
                <w:rFonts w:asciiTheme="minorHAnsi" w:hAnsiTheme="minorHAnsi" w:cstheme="minorHAnsi"/>
                <w:b/>
                <w:szCs w:val="24"/>
              </w:rPr>
            </w:pPr>
            <w:r w:rsidRPr="00AD24FA">
              <w:rPr>
                <w:rFonts w:asciiTheme="minorHAnsi" w:hAnsiTheme="minorHAnsi" w:cstheme="minorHAnsi"/>
                <w:b/>
                <w:szCs w:val="24"/>
              </w:rPr>
              <w:t>T</w:t>
            </w:r>
          </w:p>
        </w:tc>
        <w:tc>
          <w:tcPr>
            <w:tcW w:w="850" w:type="dxa"/>
          </w:tcPr>
          <w:p w:rsidR="008F2D63" w:rsidRPr="00AD24FA" w:rsidRDefault="00684B34" w:rsidP="00AD24FA">
            <w:pPr>
              <w:spacing w:line="240" w:lineRule="auto"/>
              <w:rPr>
                <w:rFonts w:asciiTheme="minorHAnsi" w:hAnsiTheme="minorHAnsi" w:cstheme="minorHAnsi"/>
                <w:b/>
                <w:szCs w:val="24"/>
              </w:rPr>
            </w:pPr>
            <w:r w:rsidRPr="00AD24FA">
              <w:rPr>
                <w:rFonts w:asciiTheme="minorHAnsi" w:hAnsiTheme="minorHAnsi" w:cstheme="minorHAnsi"/>
                <w:b/>
                <w:szCs w:val="24"/>
              </w:rPr>
              <w:t>Art. 3</w:t>
            </w:r>
            <w:r w:rsidR="00F00497">
              <w:rPr>
                <w:rFonts w:asciiTheme="minorHAnsi" w:hAnsiTheme="minorHAnsi" w:cstheme="minorHAnsi"/>
                <w:b/>
                <w:szCs w:val="24"/>
              </w:rPr>
              <w:t>5</w:t>
            </w:r>
            <w:r w:rsidRPr="00AD24FA">
              <w:rPr>
                <w:rFonts w:asciiTheme="minorHAnsi" w:hAnsiTheme="minorHAnsi" w:cstheme="minorHAnsi"/>
                <w:b/>
                <w:szCs w:val="24"/>
              </w:rPr>
              <w:t xml:space="preserve"> </w:t>
            </w:r>
          </w:p>
        </w:tc>
        <w:tc>
          <w:tcPr>
            <w:tcW w:w="3827" w:type="dxa"/>
          </w:tcPr>
          <w:p w:rsidR="00F00497" w:rsidRDefault="00F00497" w:rsidP="00496190">
            <w:pPr>
              <w:pStyle w:val="ARTartustawynprozporzdzenia"/>
              <w:ind w:firstLine="0"/>
            </w:pPr>
            <w:r w:rsidRPr="00391239">
              <w:rPr>
                <w:rStyle w:val="Ppogrubienie"/>
              </w:rPr>
              <w:t>Art. 3</w:t>
            </w:r>
            <w:r>
              <w:rPr>
                <w:rStyle w:val="Ppogrubienie"/>
              </w:rPr>
              <w:t>5</w:t>
            </w:r>
            <w:r w:rsidRPr="00391239">
              <w:rPr>
                <w:rStyle w:val="Ppogrubienie"/>
              </w:rPr>
              <w:t>.</w:t>
            </w:r>
            <w:r>
              <w:t xml:space="preserve"> </w:t>
            </w:r>
            <w:r w:rsidRPr="00A57398">
              <w:t xml:space="preserve">Zgłaszający </w:t>
            </w:r>
            <w:r>
              <w:t xml:space="preserve">może </w:t>
            </w:r>
            <w:r w:rsidRPr="00A57398">
              <w:t>dokona</w:t>
            </w:r>
            <w:r>
              <w:t>ć</w:t>
            </w:r>
            <w:r w:rsidRPr="00A57398">
              <w:t xml:space="preserve"> zgłoszenia zewnętrznego bez uprzedni</w:t>
            </w:r>
            <w:r>
              <w:t xml:space="preserve">ego dokonania </w:t>
            </w:r>
            <w:r w:rsidRPr="00A57398">
              <w:t>zgłoszenia wewnętrznego.</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t>Art. 11</w:t>
            </w:r>
          </w:p>
        </w:tc>
        <w:tc>
          <w:tcPr>
            <w:tcW w:w="5953" w:type="dxa"/>
          </w:tcPr>
          <w:p w:rsidR="009C62C8" w:rsidRPr="009C62C8" w:rsidRDefault="009C62C8" w:rsidP="009C62C8">
            <w:pPr>
              <w:widowControl/>
              <w:shd w:val="clear" w:color="auto" w:fill="FFFFFF"/>
              <w:autoSpaceDE/>
              <w:autoSpaceDN/>
              <w:adjustRightInd/>
              <w:spacing w:before="120" w:line="240" w:lineRule="auto"/>
              <w:jc w:val="center"/>
              <w:rPr>
                <w:rFonts w:asciiTheme="minorHAnsi" w:hAnsiTheme="minorHAnsi" w:cstheme="minorHAnsi"/>
                <w:b/>
                <w:color w:val="444444"/>
                <w:szCs w:val="24"/>
                <w:lang w:eastAsia="pl-PL"/>
              </w:rPr>
            </w:pPr>
            <w:r w:rsidRPr="009C62C8">
              <w:rPr>
                <w:rFonts w:asciiTheme="minorHAnsi" w:hAnsiTheme="minorHAnsi" w:cstheme="minorHAnsi"/>
                <w:b/>
                <w:color w:val="444444"/>
                <w:szCs w:val="24"/>
                <w:lang w:eastAsia="pl-PL"/>
              </w:rPr>
              <w:t>Obowiązek ustanowienia zewnętrznych kanałów dokonywania zgłoszeń i podejmowania działań następczych w związku ze zgłoszeniami</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1.   Państwa członkowskie wyznaczają organy właściwe do przyjmowania zgłoszeń, przekazywania informacji zwrotnych na ich temat i podejmowania działań następczych w związku z nimi i zapewniają tym organom odpowiednie zasoby.</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2.   Państwa członkowskie zapewniają, aby właściwe organy:</w:t>
            </w: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219"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ustanowiły niezależne i autonomiczne zewnętrzne kanały dokonywania zgłoszeń w celu przyjmowania i przetwarzania informacji na temat naruszeń;</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niezwłocznie, a w każdym razie w terminie siedmiu dni od otrzymania zgłoszenia, potwierdzały jego otrzymanie, chyba że osoba dokonująca zgłoszenia wystąpiła wyraźnie z odmiennym wnioskiem w tym zakresie lub właściwy organ ma uzasadnione powody, by sądzić, że potwierdzenie otrzymania zgłoszenia zagroziłoby ochronie tożsamości tej osoby;</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c</w:t>
                  </w:r>
                </w:p>
              </w:tc>
              <w:tc>
                <w:tcPr>
                  <w:tcW w:w="9219"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podejmowały z zachowaniem należytej staranności</w:t>
                  </w: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działania następcze w związku ze zgłoszeniami;</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d</w:t>
                  </w:r>
                </w:p>
              </w:tc>
              <w:tc>
                <w:tcPr>
                  <w:tcW w:w="9206"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przekazały osobie dokonującej zgłoszenia informacje zwrotne w rozsądnym terminie, nieprzekraczającym trzech miesięcy lub, w należycie uzasadnionych przypadkach – w terminie sześciu miesięcy;</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e</w:t>
                  </w:r>
                </w:p>
              </w:tc>
              <w:tc>
                <w:tcPr>
                  <w:tcW w:w="9219"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poinformowały osobę dokonującą zgłoszenia o ostatecznym wyniku postępowań wyjaśniających uruchomionych na skutek danego zgłoszenia, zgodnie z procedurami przewidzianymi w prawie krajowym;</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05"/>
              <w:gridCol w:w="5632"/>
            </w:tblGrid>
            <w:tr w:rsidR="008F2D63" w:rsidRPr="00AD24FA" w:rsidTr="008F2D63">
              <w:tc>
                <w:tcPr>
                  <w:tcW w:w="16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lastRenderedPageBreak/>
                    <w:t>f</w:t>
                  </w:r>
                </w:p>
              </w:tc>
              <w:tc>
                <w:tcPr>
                  <w:tcW w:w="9246"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przekazały w stosownych terminie, w odpowiednich przypadkach, właściwym instytucjom, organom lub jednostkom organizacyjnym Unii informacje zawarte w zgłoszeniu w celu przeprowadzenia dalszego postępowania wyjaśniającego, o ile jest to przewidziane w prawie Unii lub w prawie krajowym.</w:t>
                  </w:r>
                </w:p>
              </w:tc>
            </w:tr>
          </w:tbl>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3.   Państwa członkowskie mogą wprowadzić przepisy przewidujące, że właściwe organy, po dokonaniu należytej oceny sprawy, mogą zdecydować, że naruszenie będące przedmiotem zgłoszenia ma wyraźnie niewielką wagę i nie wymaga podjęcia dalszych działań następczych zgodnie z niniejszą dyrektywą, innych niż zamknięcie procedury. Pozostaje to bez wpływu na inne obowiązki lub inne mające zastosowanie procedury w zakresie zaradzenia naruszeniu będącemu przedmiotem zgłoszenia lub na ochronę przyznaną niniejszą dyrektywą w związku ze zgłoszeniami wewnętrznymi lub zewnętrznymi. W takim przypadku właściwe organy powiadamiają osobę dokonującą zgłoszenia o swojej decyzji, podając jej uzasadnienie.</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4.   Państwa członkowskie mogą wprowadzić przepisy przewidujące, że właściwe organy mogą postanowić o zamknięciu procedury w sprawie zgłoszeń dotyczących sprawy będącej już przedmiotem wcześniejszego zgłoszenia, w których nie zawarto żadnych istotnych nowych informacji na temat naruszeń w porównaniu z wcześniejszym zgłoszeniem, w przypadku którego odpowiednia procedura została zakończona, chyba że nowe okoliczności prawne lub faktyczne uzasadniają podjęcie innych działań następczych. W takim przypadku </w:t>
            </w:r>
            <w:r w:rsidRPr="00AD24FA">
              <w:rPr>
                <w:rFonts w:asciiTheme="minorHAnsi" w:hAnsiTheme="minorHAnsi" w:cstheme="minorHAnsi"/>
                <w:color w:val="444444"/>
                <w:szCs w:val="24"/>
                <w:lang w:eastAsia="pl-PL"/>
              </w:rPr>
              <w:lastRenderedPageBreak/>
              <w:t>właściwe organy powiadamiają osobę dokonującą zgłoszenia o swojej decyzji, podając jej uzasadnienie.</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5.   Państwa członkowskie mogą wprowadzić przepisy przewidujące, że w przypadku wpływu wielu zgłoszeń właściwe organy mogą zajmować się w trybie priorytetowym zgłoszeniami dotyczącymi poważnych naruszeń lub naruszeń związanych z zasadniczymi przepisami objętymi zakresem stosowania niniejszej dyrektywy, bez uszczerbku dla terminu określonego w ust. 2 lit. d).</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6.   Państwa członkowskie zapewniają, aby każdy organ, który otrzymał zgłoszenie, ale nie jest właściwy do zaradzenia naruszeniu będącemu przedmiotem naruszenia, przekazał zgłoszenie właściwemu organowi w rozsądnym terminie i w bezpieczny sposób, oraz zapewniają, aby osoba dokonująca zgłoszenia została o takim przekazaniu niezwłocznie poinformowana.</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684B34"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684B34"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Art. </w:t>
            </w:r>
            <w:r w:rsidR="00F00497">
              <w:rPr>
                <w:rFonts w:asciiTheme="minorHAnsi" w:hAnsiTheme="minorHAnsi" w:cstheme="minorHAnsi"/>
                <w:b/>
                <w:szCs w:val="24"/>
              </w:rPr>
              <w:t>36</w:t>
            </w:r>
          </w:p>
        </w:tc>
        <w:tc>
          <w:tcPr>
            <w:tcW w:w="3827" w:type="dxa"/>
          </w:tcPr>
          <w:p w:rsidR="00F00497" w:rsidRDefault="00F00497" w:rsidP="00496190">
            <w:pPr>
              <w:pStyle w:val="ARTartustawynprozporzdzenia"/>
              <w:ind w:firstLine="0"/>
            </w:pPr>
            <w:r w:rsidRPr="00391239">
              <w:rPr>
                <w:rStyle w:val="Ppogrubienie"/>
              </w:rPr>
              <w:t xml:space="preserve">Art. </w:t>
            </w:r>
            <w:r>
              <w:rPr>
                <w:rStyle w:val="Ppogrubienie"/>
              </w:rPr>
              <w:t>36</w:t>
            </w:r>
            <w:r w:rsidRPr="00391239">
              <w:rPr>
                <w:rStyle w:val="Ppogrubienie"/>
              </w:rPr>
              <w:t>.</w:t>
            </w:r>
            <w:r>
              <w:t xml:space="preserve"> 1. Organem centralnym jest Rzecznik Praw Obywatelskich.</w:t>
            </w:r>
          </w:p>
          <w:p w:rsidR="00F00497" w:rsidRPr="00A57398" w:rsidRDefault="00F00497" w:rsidP="00F00497">
            <w:pPr>
              <w:pStyle w:val="USTustnpkodeksu"/>
            </w:pPr>
            <w:r>
              <w:lastRenderedPageBreak/>
              <w:t>2. Organem publicznym przyjmującym zgłoszenia w zakresie zasad konkurencji i ochrony konsumentów jest Prezes Urzędu Ochrony Konkurencji i Konsumentów.</w:t>
            </w:r>
          </w:p>
          <w:p w:rsidR="00F00497" w:rsidRDefault="00F00497" w:rsidP="00F00497">
            <w:pPr>
              <w:pStyle w:val="USTustnpkodeksu"/>
            </w:pPr>
            <w:r>
              <w:t>3. Organami publicznymi są także inne organy przyjmujące zgłoszenia zewnętrzne dotyczące naruszeń w dziedzinach</w:t>
            </w:r>
            <w:r w:rsidRPr="00694210">
              <w:t xml:space="preserve"> nal</w:t>
            </w:r>
            <w:r>
              <w:t>eżących do zakresu działania tych organów.</w:t>
            </w:r>
          </w:p>
          <w:p w:rsidR="00684B34" w:rsidRPr="00AD24FA" w:rsidRDefault="00684B34" w:rsidP="00CA1984">
            <w:pPr>
              <w:pStyle w:val="USTustnpkodeksu"/>
              <w:spacing w:line="240" w:lineRule="auto"/>
              <w:ind w:firstLine="0"/>
              <w:rPr>
                <w:rFonts w:asciiTheme="minorHAnsi" w:hAnsiTheme="minorHAnsi" w:cstheme="minorHAnsi"/>
                <w:szCs w:val="24"/>
              </w:rPr>
            </w:pP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12</w:t>
            </w:r>
          </w:p>
        </w:tc>
        <w:tc>
          <w:tcPr>
            <w:tcW w:w="5953" w:type="dxa"/>
          </w:tcPr>
          <w:p w:rsidR="009C62C8" w:rsidRPr="009C62C8" w:rsidRDefault="009C62C8" w:rsidP="009C62C8">
            <w:pPr>
              <w:widowControl/>
              <w:shd w:val="clear" w:color="auto" w:fill="FFFFFF"/>
              <w:autoSpaceDE/>
              <w:autoSpaceDN/>
              <w:adjustRightInd/>
              <w:spacing w:before="120" w:line="240" w:lineRule="auto"/>
              <w:jc w:val="center"/>
              <w:rPr>
                <w:rFonts w:asciiTheme="minorHAnsi" w:hAnsiTheme="minorHAnsi" w:cstheme="minorHAnsi"/>
                <w:b/>
                <w:color w:val="444444"/>
                <w:szCs w:val="24"/>
                <w:lang w:eastAsia="pl-PL"/>
              </w:rPr>
            </w:pPr>
            <w:r w:rsidRPr="009C62C8">
              <w:rPr>
                <w:rFonts w:asciiTheme="minorHAnsi" w:hAnsiTheme="minorHAnsi" w:cstheme="minorHAnsi"/>
                <w:b/>
                <w:color w:val="444444"/>
                <w:szCs w:val="24"/>
                <w:lang w:eastAsia="pl-PL"/>
              </w:rPr>
              <w:t>Struktura zewnętrznych kanałów dokonywania zgłoszeń</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   Zewnętrzne kanały dokonywania zgłoszeń uznaje się za niezależne i autonomiczne, pod warunkiem że spełniają wszystkie następujące kryteria:</w:t>
            </w:r>
          </w:p>
          <w:tbl>
            <w:tblPr>
              <w:tblW w:w="5000" w:type="pct"/>
              <w:tblLayout w:type="fixed"/>
              <w:tblCellMar>
                <w:left w:w="0" w:type="dxa"/>
                <w:right w:w="0" w:type="dxa"/>
              </w:tblCellMar>
              <w:tblLook w:val="04A0" w:firstRow="1" w:lastRow="0" w:firstColumn="1" w:lastColumn="0" w:noHBand="0" w:noVBand="1"/>
            </w:tblPr>
            <w:tblGrid>
              <w:gridCol w:w="220"/>
              <w:gridCol w:w="5517"/>
            </w:tblGrid>
            <w:tr w:rsidR="008F2D63" w:rsidRPr="00AD24FA" w:rsidTr="00175D7D">
              <w:tc>
                <w:tcPr>
                  <w:tcW w:w="21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5273"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zostały zaprojektowane i ustanowione oraz są obsługiwane w sposób zapewniający kompletność, integralność i poufność informacji oraz uniemożliwiający uzyskanie do nich dostępu nieupoważnionym członkom personelu właściwego organu;</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lastRenderedPageBreak/>
                    <w:t>b</w:t>
                  </w:r>
                </w:p>
              </w:tc>
              <w:tc>
                <w:tcPr>
                  <w:tcW w:w="9206"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pozwalają na przechowywanie informacji w sposób trwały zgodnie z art. 18, aby umożliwić prowadzenie dalszego postępowania wyjaśniającego.</w:t>
                  </w:r>
                </w:p>
              </w:tc>
            </w:tr>
          </w:tbl>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2.   Zewnętrzne kanały dokonywania zgłoszeń muszą umożliwiać dokonywanie zgłoszeń na piśmie lub ustnie. Ustnego zgłoszenia można dokonywać telefonicznie lub za pośrednictwem innych systemów komunikacji głosowej, a na wniosek osoby dokonującej zgłoszenia – za pomocą bezpośredniego spotkania zorganizowanego w rozsądnym terminie.</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3.   Właściwe organy zapewniają, aby w przypadku gdy zgłoszenie otrzymano za pośrednictwem innych kanałów dokonywania zgłoszeń niż te, o których mowa w ust. 1 i 2, lub gdy otrzymali je członkowie personelu, którzy nie są odpowiedzialni za rozpatrywanie zgłoszeń, członkowie personelu, którzy je otrzymali, mieli zakaz ujawniania jakichkolwiek informacji mogących skutkować ustaleniem tożsamości osoby dokonującej zgłoszenia lub osoby, której dotyczy zgłoszenie, i byli zobowiązani do niezwłocznego przekazania zgłoszenia, bez wprowadzania do niego zmian, członkom personelu odpowiedzialnym za rozpatrywanie zgłoszeń.</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4.   Państwa członkowskie zapewniają, aby właściwe organy wyznaczyły członków personelu odpowiedzialnych za rozpatrywanie zgłoszeń, a w szczególności odpowiedzialnych za:</w:t>
            </w: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219"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 </w:t>
                  </w:r>
                  <w:r w:rsidR="008F2D63" w:rsidRPr="00AD24FA">
                    <w:rPr>
                      <w:rFonts w:asciiTheme="minorHAnsi" w:hAnsiTheme="minorHAnsi" w:cstheme="minorHAnsi"/>
                      <w:szCs w:val="24"/>
                      <w:lang w:eastAsia="pl-PL"/>
                    </w:rPr>
                    <w:t>przekazywanie wszystkim zainteresowanym osobom informacji na temat procedur dokonywania zgłoszeń;</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32"/>
              <w:gridCol w:w="5605"/>
            </w:tblGrid>
            <w:tr w:rsidR="008F2D63" w:rsidRPr="00AD24FA" w:rsidTr="008F2D63">
              <w:tc>
                <w:tcPr>
                  <w:tcW w:w="204"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lastRenderedPageBreak/>
                    <w:t>b</w:t>
                  </w:r>
                </w:p>
              </w:tc>
              <w:tc>
                <w:tcPr>
                  <w:tcW w:w="9202"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przyjmowanie zgłoszeń i podejmowanie działań następczych w związku z tymi zgłoszeniami;</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c</w:t>
                  </w:r>
                </w:p>
              </w:tc>
              <w:tc>
                <w:tcPr>
                  <w:tcW w:w="9219"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utrzymywanie kontaktu z osobą dokonując zgłoszenia w celu przekazywania jej informacji zwrotnych i zwracania się, w razie potrzeby, o dalsze informacje.</w:t>
                  </w:r>
                </w:p>
              </w:tc>
            </w:tr>
          </w:tbl>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5.   Członkowie personelu, o których mowa w ust. 4, przechodzą specjalne szkolenie z zakresu rozpatrywania zgłoszeń.</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684B34"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684B34"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Art. </w:t>
            </w:r>
            <w:r w:rsidR="00462DF7">
              <w:rPr>
                <w:rFonts w:asciiTheme="minorHAnsi" w:hAnsiTheme="minorHAnsi" w:cstheme="minorHAnsi"/>
                <w:b/>
                <w:szCs w:val="24"/>
              </w:rPr>
              <w:t>38</w:t>
            </w:r>
          </w:p>
        </w:tc>
        <w:tc>
          <w:tcPr>
            <w:tcW w:w="3827" w:type="dxa"/>
          </w:tcPr>
          <w:p w:rsidR="00462DF7" w:rsidRPr="00694210" w:rsidRDefault="00462DF7" w:rsidP="00496190">
            <w:pPr>
              <w:pStyle w:val="ARTartustawynprozporzdzenia"/>
              <w:ind w:firstLine="0"/>
            </w:pPr>
            <w:r w:rsidRPr="00391239">
              <w:rPr>
                <w:rStyle w:val="Ppogrubienie"/>
              </w:rPr>
              <w:t xml:space="preserve">Art. </w:t>
            </w:r>
            <w:r>
              <w:rPr>
                <w:rStyle w:val="Ppogrubienie"/>
              </w:rPr>
              <w:t>38</w:t>
            </w:r>
            <w:r w:rsidRPr="00391239">
              <w:rPr>
                <w:rStyle w:val="Ppogrubienie"/>
              </w:rPr>
              <w:t>.</w:t>
            </w:r>
            <w:r w:rsidRPr="00694210">
              <w:t xml:space="preserve"> </w:t>
            </w:r>
            <w:r>
              <w:t>1</w:t>
            </w:r>
            <w:r w:rsidRPr="00694210">
              <w:t xml:space="preserve">. Wstępna weryfikacja zgłoszenia przez organ </w:t>
            </w:r>
            <w:r>
              <w:t xml:space="preserve">centralny </w:t>
            </w:r>
            <w:r w:rsidRPr="00694210">
              <w:t xml:space="preserve">polega na ustaleniu, czy zgłoszenie dotyczy informacji o naruszeniu </w:t>
            </w:r>
            <w:r>
              <w:t xml:space="preserve">prawa </w:t>
            </w:r>
            <w:r w:rsidRPr="00694210">
              <w:t xml:space="preserve">oraz zidentyfikowaniu organu właściwego do podjęcia działań następczych. </w:t>
            </w:r>
          </w:p>
          <w:p w:rsidR="00462DF7" w:rsidRPr="00694210" w:rsidRDefault="00462DF7" w:rsidP="00462DF7">
            <w:pPr>
              <w:pStyle w:val="USTustnpkodeksu"/>
            </w:pPr>
            <w:r>
              <w:lastRenderedPageBreak/>
              <w:t>2</w:t>
            </w:r>
            <w:r w:rsidRPr="00694210">
              <w:t xml:space="preserve">. Jeżeli zgłoszenie dotyczy informacji o naruszeniu </w:t>
            </w:r>
            <w:r>
              <w:t>prawa</w:t>
            </w:r>
            <w:r w:rsidRPr="00694210">
              <w:t xml:space="preserve">, organ </w:t>
            </w:r>
            <w:r>
              <w:t xml:space="preserve">centralny </w:t>
            </w:r>
            <w:r w:rsidRPr="00694210">
              <w:t>przekazuje zgłoszenie do organu właściwego do podjęcia działań następczych.</w:t>
            </w:r>
          </w:p>
          <w:p w:rsidR="00462DF7" w:rsidRPr="00694210" w:rsidRDefault="00462DF7" w:rsidP="00462DF7">
            <w:pPr>
              <w:pStyle w:val="USTustnpkodeksu"/>
            </w:pPr>
            <w:r>
              <w:t>3</w:t>
            </w:r>
            <w:r w:rsidRPr="00694210">
              <w:t>. Organ</w:t>
            </w:r>
            <w:r>
              <w:t xml:space="preserve"> centralny</w:t>
            </w:r>
            <w:r w:rsidRPr="00694210">
              <w:t xml:space="preserve"> informuje zgłaszającego o przekazaniu zgłoszenia. Informacja obejmuje przynajmniej wskazanie organu, do którego zgłoszenie zostało przekazane, oraz datę przekazania. </w:t>
            </w:r>
          </w:p>
          <w:p w:rsidR="00462DF7" w:rsidRPr="00694210" w:rsidRDefault="00462DF7" w:rsidP="00462DF7">
            <w:pPr>
              <w:pStyle w:val="USTustnpkodeksu"/>
            </w:pPr>
            <w:r>
              <w:t>4</w:t>
            </w:r>
            <w:r w:rsidRPr="00694210">
              <w:t xml:space="preserve">. Organ </w:t>
            </w:r>
            <w:r>
              <w:t xml:space="preserve">centralny </w:t>
            </w:r>
            <w:r w:rsidRPr="00694210">
              <w:t>odstępuje od przekazania zgłoszenia, jeżeli zgłoszenie nie dotyczy informacji o naruszeniu</w:t>
            </w:r>
            <w:r>
              <w:t xml:space="preserve"> prawa</w:t>
            </w:r>
            <w:r w:rsidRPr="00694210">
              <w:t>.</w:t>
            </w:r>
          </w:p>
          <w:p w:rsidR="00462DF7" w:rsidRPr="00694210" w:rsidRDefault="00462DF7" w:rsidP="00462DF7">
            <w:pPr>
              <w:pStyle w:val="USTustnpkodeksu"/>
            </w:pPr>
            <w:r>
              <w:t>5</w:t>
            </w:r>
            <w:r w:rsidRPr="00694210">
              <w:t>. Organ</w:t>
            </w:r>
            <w:r>
              <w:t xml:space="preserve"> centralny</w:t>
            </w:r>
            <w:r w:rsidRPr="00694210">
              <w:t xml:space="preserve"> informuje zgłaszającego o odstąpieniu od przekazania zgłoszenia</w:t>
            </w:r>
            <w:r>
              <w:t>,</w:t>
            </w:r>
            <w:r w:rsidRPr="00694210">
              <w:t xml:space="preserve"> podając ustalenia ze wstępnej weryfikacji zgłoszenia. </w:t>
            </w:r>
          </w:p>
          <w:p w:rsidR="00462DF7" w:rsidRPr="00694210" w:rsidRDefault="00462DF7" w:rsidP="00462DF7">
            <w:pPr>
              <w:pStyle w:val="USTustnpkodeksu"/>
            </w:pPr>
            <w:r>
              <w:lastRenderedPageBreak/>
              <w:t>6</w:t>
            </w:r>
            <w:r w:rsidRPr="00694210">
              <w:t xml:space="preserve">. Odstępując od przekazania zgłoszenia, organ </w:t>
            </w:r>
            <w:r>
              <w:t xml:space="preserve">centralny </w:t>
            </w:r>
            <w:r w:rsidRPr="00694210">
              <w:t xml:space="preserve">może poinformować zgłaszającego, że informacja objęta zgłoszeniem należy do trybu podlegającego przepisom odrębnym, w szczególności jako przedmiot powództwa cywilnego, zawiadomienia o przestępstwie, skargi do sądu administracyjnego, skargi, wniosku lub petycji, </w:t>
            </w:r>
            <w:r>
              <w:t>lub</w:t>
            </w:r>
            <w:r w:rsidRPr="00694210">
              <w:t xml:space="preserve"> może w innym trybie zostać przedstawiona do rozpatrzenia właściwym organom. Poinformowanie zgłaszającego nie wpływa w szczególności na dopuszczalność wniesionego później środka prawnego, bieg terminów ani na treść rozstrzygnięcia lub sposób zakończenia postępowania. Informacja przekazana zgłaszającemu zawiera pouczenie w tym zakresie.</w:t>
            </w:r>
          </w:p>
          <w:p w:rsidR="008F2D63" w:rsidRPr="00AD24FA" w:rsidRDefault="008F2D63" w:rsidP="00AD24FA">
            <w:pPr>
              <w:pStyle w:val="PKTpunkt"/>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13</w:t>
            </w:r>
          </w:p>
        </w:tc>
        <w:tc>
          <w:tcPr>
            <w:tcW w:w="5953" w:type="dxa"/>
          </w:tcPr>
          <w:p w:rsidR="008F2D63" w:rsidRPr="009C62C8" w:rsidRDefault="008F2D63"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9C62C8">
              <w:rPr>
                <w:rFonts w:asciiTheme="minorHAnsi" w:hAnsiTheme="minorHAnsi" w:cstheme="minorHAnsi"/>
                <w:b/>
                <w:bCs/>
                <w:color w:val="444444"/>
                <w:szCs w:val="24"/>
                <w:lang w:eastAsia="pl-PL"/>
              </w:rPr>
              <w:t>Informacje dotyczące przyjmowania zgłoszeń oraz podejmowania działań następczych w związku ze zgłoszeniami</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Państwa członkowskie zapewniają, aby właściwe organy publikowały na swoich stronach internetowych w oddzielnej, łatwej do zidentyfikowania i łatwo dostępnej sekcji co najmniej następujące informacje: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46"/>
              <w:gridCol w:w="5591"/>
            </w:tblGrid>
            <w:tr w:rsidR="008F2D63" w:rsidRPr="00AD24FA" w:rsidTr="008F2D63">
              <w:tc>
                <w:tcPr>
                  <w:tcW w:w="227"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a</w:t>
                  </w:r>
                </w:p>
              </w:tc>
              <w:tc>
                <w:tcPr>
                  <w:tcW w:w="9179" w:type="dxa"/>
                  <w:shd w:val="clear" w:color="auto" w:fill="FFFFFF"/>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warunki kwalifikowania się do objęcia ochroną na mocy niniejszej dyrektywy;</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b</w:t>
                  </w:r>
                </w:p>
              </w:tc>
              <w:tc>
                <w:tcPr>
                  <w:tcW w:w="9181" w:type="dxa"/>
                  <w:shd w:val="clear" w:color="auto" w:fill="FFFFFF"/>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dane kontaktowe zewnętrznych kanałów dokonywania zgłoszeń, o których mowa w art. 12, w szczególności adres pocztowy i elektroniczny oraz numery telefonów takich kanałów, ze wskazaniem, czy rozmowy telefoniczne są nagrywane;</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6"/>
              <w:gridCol w:w="5601"/>
            </w:tblGrid>
            <w:tr w:rsidR="008F2D63" w:rsidRPr="00AD24FA" w:rsidTr="008F2D63">
              <w:tc>
                <w:tcPr>
                  <w:tcW w:w="210"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c</w:t>
                  </w:r>
                </w:p>
              </w:tc>
              <w:tc>
                <w:tcPr>
                  <w:tcW w:w="9196" w:type="dxa"/>
                  <w:shd w:val="clear" w:color="auto" w:fill="FFFFFF"/>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procedury mające zastosowanie w przypadku zgłaszania naruszeń, w tym informacje o tym, jaki może być wymagany przez właściwy organ sposób wyjaśnienia informacji będących przedmiotem zgłoszenia lub przedstawienia dodatkowych informacji, informacje o terminach na przekazanie informacji zwrotnych oraz o rodzaju i zawartości takich informacji;</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d</w:t>
                  </w:r>
                </w:p>
              </w:tc>
              <w:tc>
                <w:tcPr>
                  <w:tcW w:w="9181" w:type="dxa"/>
                  <w:shd w:val="clear" w:color="auto" w:fill="FFFFFF"/>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zasady poufności mające zastosowanie do zgłoszeń, a w szczególności informacje związane z przetwarzaniem danych osobowych zgodnie z art. 17 niniejszej dyrektywy, art. 5 i 13 rozporządzenia (UE) 2016/679, art. 13 dyrektywy (UE) 2016/680 i art. 15 rozporządzenia (UE) 2018/1725 – w zależności od przypadku;</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6"/>
              <w:gridCol w:w="5591"/>
            </w:tblGrid>
            <w:tr w:rsidR="008F2D63" w:rsidRPr="00AD24FA" w:rsidTr="008F2D63">
              <w:tc>
                <w:tcPr>
                  <w:tcW w:w="227"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e</w:t>
                  </w:r>
                </w:p>
              </w:tc>
              <w:tc>
                <w:tcPr>
                  <w:tcW w:w="9179" w:type="dxa"/>
                  <w:shd w:val="clear" w:color="auto" w:fill="FFFFFF"/>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charakter działań następczych, jakie należy podjąć w związku ze zgłoszeniem;</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7"/>
              <w:gridCol w:w="5620"/>
            </w:tblGrid>
            <w:tr w:rsidR="008F2D63" w:rsidRPr="00AD24FA" w:rsidTr="008F2D63">
              <w:tc>
                <w:tcPr>
                  <w:tcW w:w="180"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f</w:t>
                  </w:r>
                </w:p>
              </w:tc>
              <w:tc>
                <w:tcPr>
                  <w:tcW w:w="9226" w:type="dxa"/>
                  <w:shd w:val="clear" w:color="auto" w:fill="FFFFFF"/>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środki ochrony prawnej i procedury służące ochronie przed działaniami odwetowymi oraz dostępność poufnej porady dla osób rozważających dokonanie zgłoszenia;</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g</w:t>
                  </w:r>
                </w:p>
              </w:tc>
              <w:tc>
                <w:tcPr>
                  <w:tcW w:w="9181" w:type="dxa"/>
                  <w:shd w:val="clear" w:color="auto" w:fill="FFFFFF"/>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oświadczenie, w którym objaśnia się w sposób zrozumiały warunki, na jakich osoby dokonujące zgłoszenia są chronione przed ponoszeniem odpowiedzialności za naruszenie poufności zgodnie z art. 21 ust. 2; oraz</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8F2D63" w:rsidRPr="00AD24FA" w:rsidTr="008F2D63">
              <w:tc>
                <w:tcPr>
                  <w:tcW w:w="225" w:type="dxa"/>
                  <w:shd w:val="clear" w:color="auto" w:fill="FFFFFF"/>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h</w:t>
                  </w:r>
                </w:p>
              </w:tc>
              <w:tc>
                <w:tcPr>
                  <w:tcW w:w="9181" w:type="dxa"/>
                  <w:shd w:val="clear" w:color="auto" w:fill="FFFFFF"/>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8F2D63" w:rsidRPr="00AD24FA">
                    <w:rPr>
                      <w:rFonts w:asciiTheme="minorHAnsi" w:hAnsiTheme="minorHAnsi" w:cstheme="minorHAnsi"/>
                      <w:color w:val="444444"/>
                      <w:szCs w:val="24"/>
                      <w:lang w:eastAsia="pl-PL"/>
                    </w:rPr>
                    <w:t>w stosownych przypadkach dane kontaktowe centrum informacyjnego lub jednego niezależnego organu administracyjnego, o którym mowa w art. 20 ust. 3.</w:t>
                  </w:r>
                </w:p>
              </w:tc>
            </w:tr>
          </w:tbl>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t>Art.</w:t>
            </w:r>
            <w:r w:rsidR="00663813" w:rsidRPr="00AD24FA">
              <w:rPr>
                <w:rFonts w:asciiTheme="minorHAnsi" w:hAnsiTheme="minorHAnsi" w:cstheme="minorHAnsi"/>
                <w:b/>
                <w:szCs w:val="24"/>
              </w:rPr>
              <w:t xml:space="preserve"> </w:t>
            </w:r>
            <w:r w:rsidR="00462DF7">
              <w:rPr>
                <w:rFonts w:asciiTheme="minorHAnsi" w:hAnsiTheme="minorHAnsi" w:cstheme="minorHAnsi"/>
                <w:b/>
                <w:szCs w:val="24"/>
              </w:rPr>
              <w:t>39</w:t>
            </w:r>
            <w:r w:rsidR="00663813" w:rsidRPr="00AD24FA">
              <w:rPr>
                <w:rFonts w:asciiTheme="minorHAnsi" w:hAnsiTheme="minorHAnsi" w:cstheme="minorHAnsi"/>
                <w:b/>
                <w:szCs w:val="24"/>
              </w:rPr>
              <w:t xml:space="preserve"> i art.</w:t>
            </w:r>
            <w:r w:rsidRPr="00AD24FA">
              <w:rPr>
                <w:rFonts w:asciiTheme="minorHAnsi" w:hAnsiTheme="minorHAnsi" w:cstheme="minorHAnsi"/>
                <w:b/>
                <w:szCs w:val="24"/>
              </w:rPr>
              <w:t xml:space="preserve"> 4</w:t>
            </w:r>
            <w:r w:rsidR="00462DF7">
              <w:rPr>
                <w:rFonts w:asciiTheme="minorHAnsi" w:hAnsiTheme="minorHAnsi" w:cstheme="minorHAnsi"/>
                <w:b/>
                <w:szCs w:val="24"/>
              </w:rPr>
              <w:t>1</w:t>
            </w:r>
          </w:p>
        </w:tc>
        <w:tc>
          <w:tcPr>
            <w:tcW w:w="3827" w:type="dxa"/>
          </w:tcPr>
          <w:p w:rsidR="00462DF7" w:rsidRDefault="00462DF7" w:rsidP="00496190">
            <w:pPr>
              <w:pStyle w:val="ARTartustawynprozporzdzenia"/>
              <w:ind w:firstLine="0"/>
            </w:pPr>
            <w:r w:rsidRPr="0099528D">
              <w:rPr>
                <w:rStyle w:val="Ppogrubienie"/>
              </w:rPr>
              <w:t xml:space="preserve">Art. </w:t>
            </w:r>
            <w:r>
              <w:rPr>
                <w:rStyle w:val="Ppogrubienie"/>
              </w:rPr>
              <w:t>39</w:t>
            </w:r>
            <w:r w:rsidRPr="0099528D">
              <w:rPr>
                <w:rStyle w:val="Ppogrubienie"/>
              </w:rPr>
              <w:t>.</w:t>
            </w:r>
            <w:r>
              <w:t xml:space="preserve"> 1. Zgłoszenie zewnętrzne jest przyjmowane przez organ centralny albo organ publiczny. </w:t>
            </w:r>
          </w:p>
          <w:p w:rsidR="00462DF7" w:rsidRPr="00A57398" w:rsidRDefault="00462DF7" w:rsidP="00462DF7">
            <w:pPr>
              <w:pStyle w:val="USTustnpkodeksu"/>
            </w:pPr>
            <w:r>
              <w:t>2. Organ centralny oraz organ publiczny opracowują procedurę przyjmowania zgłoszeń zewnętrznych.</w:t>
            </w:r>
          </w:p>
          <w:p w:rsidR="00462DF7" w:rsidRDefault="00462DF7" w:rsidP="00462DF7">
            <w:pPr>
              <w:pStyle w:val="USTustnpkodeksu"/>
            </w:pPr>
            <w:r>
              <w:t>3. Organ publiczny:</w:t>
            </w:r>
          </w:p>
          <w:p w:rsidR="00462DF7" w:rsidRDefault="00462DF7" w:rsidP="00462DF7">
            <w:pPr>
              <w:pStyle w:val="PKTpunkt"/>
            </w:pPr>
            <w:r>
              <w:t>1)</w:t>
            </w:r>
            <w:r>
              <w:tab/>
            </w:r>
            <w:r w:rsidRPr="00467A81">
              <w:t>dokonuje wstępnej weryfikacji zgłoszenia zewnętrznego</w:t>
            </w:r>
            <w:r>
              <w:t>;</w:t>
            </w:r>
          </w:p>
          <w:p w:rsidR="00462DF7" w:rsidRDefault="00462DF7" w:rsidP="00462DF7">
            <w:pPr>
              <w:pStyle w:val="PKTpunkt"/>
            </w:pPr>
            <w:r>
              <w:t>2</w:t>
            </w:r>
            <w:r w:rsidRPr="00467A81">
              <w:t>)</w:t>
            </w:r>
            <w:r>
              <w:tab/>
            </w:r>
            <w:r w:rsidRPr="00467A81">
              <w:t xml:space="preserve">przyjmuje zgłoszenie zewnętrze </w:t>
            </w:r>
            <w:r>
              <w:t xml:space="preserve">– </w:t>
            </w:r>
            <w:r w:rsidRPr="00467A81">
              <w:t xml:space="preserve">w przypadku </w:t>
            </w:r>
            <w:r>
              <w:t>gdy zgłoszenie dotyczy naruszeń w dziedzinie należącej do zakresu działania tego organu;</w:t>
            </w:r>
          </w:p>
          <w:p w:rsidR="00462DF7" w:rsidRDefault="00462DF7" w:rsidP="00462DF7">
            <w:pPr>
              <w:pStyle w:val="PKTpunkt"/>
            </w:pPr>
            <w:r>
              <w:t>3)</w:t>
            </w:r>
            <w:r>
              <w:tab/>
              <w:t xml:space="preserve">przekazuje zgłoszenie zewnętrzne do organu właściwego do podjęcia działań następczych – w przypadku </w:t>
            </w:r>
            <w:r w:rsidRPr="00467A81">
              <w:t xml:space="preserve">gdy </w:t>
            </w:r>
            <w:r w:rsidRPr="00686BE3">
              <w:t xml:space="preserve">zgłoszenie dotyczy naruszeń w </w:t>
            </w:r>
            <w:r w:rsidRPr="00686BE3">
              <w:lastRenderedPageBreak/>
              <w:t xml:space="preserve">dziedzinie </w:t>
            </w:r>
            <w:r>
              <w:t xml:space="preserve">nienależącej </w:t>
            </w:r>
            <w:r w:rsidRPr="00686BE3">
              <w:t>do zakresu dział</w:t>
            </w:r>
            <w:r>
              <w:t>ania tego organu;</w:t>
            </w:r>
          </w:p>
          <w:p w:rsidR="00462DF7" w:rsidRDefault="00462DF7" w:rsidP="00462DF7">
            <w:pPr>
              <w:pStyle w:val="PKTpunkt"/>
            </w:pPr>
            <w:r>
              <w:t>4)</w:t>
            </w:r>
            <w:r>
              <w:tab/>
            </w:r>
            <w:r w:rsidRPr="00A57398">
              <w:t>podejm</w:t>
            </w:r>
            <w:r>
              <w:t>uje</w:t>
            </w:r>
            <w:r w:rsidRPr="00A57398">
              <w:t xml:space="preserve"> działa</w:t>
            </w:r>
            <w:r>
              <w:t>nia</w:t>
            </w:r>
            <w:r w:rsidRPr="00A57398">
              <w:t xml:space="preserve"> następcz</w:t>
            </w:r>
            <w:r>
              <w:t>e;</w:t>
            </w:r>
          </w:p>
          <w:p w:rsidR="00462DF7" w:rsidRDefault="00462DF7" w:rsidP="00462DF7">
            <w:pPr>
              <w:pStyle w:val="PKTpunkt"/>
            </w:pPr>
            <w:r>
              <w:t>5)</w:t>
            </w:r>
            <w:r>
              <w:tab/>
            </w:r>
            <w:r w:rsidRPr="00A57398">
              <w:t>przekaz</w:t>
            </w:r>
            <w:r>
              <w:t xml:space="preserve">uje zgłaszającemu </w:t>
            </w:r>
            <w:r w:rsidRPr="00A57398">
              <w:t>informacj</w:t>
            </w:r>
            <w:r>
              <w:t>ę zwrotną.</w:t>
            </w:r>
          </w:p>
          <w:p w:rsidR="00462DF7" w:rsidRPr="00A57398" w:rsidRDefault="00462DF7" w:rsidP="00496190">
            <w:pPr>
              <w:pStyle w:val="ARTartustawynprozporzdzenia"/>
              <w:ind w:firstLine="0"/>
            </w:pPr>
            <w:r w:rsidRPr="00496190">
              <w:rPr>
                <w:b/>
              </w:rPr>
              <w:t>Art</w:t>
            </w:r>
            <w:r>
              <w:t xml:space="preserve">. </w:t>
            </w:r>
            <w:r w:rsidRPr="0099528D">
              <w:rPr>
                <w:rStyle w:val="Ppogrubienie"/>
              </w:rPr>
              <w:t>4</w:t>
            </w:r>
            <w:r>
              <w:rPr>
                <w:rStyle w:val="Ppogrubienie"/>
              </w:rPr>
              <w:t>1</w:t>
            </w:r>
            <w:r w:rsidRPr="0099528D">
              <w:rPr>
                <w:rStyle w:val="Ppogrubienie"/>
              </w:rPr>
              <w:t>.</w:t>
            </w:r>
            <w:r w:rsidRPr="00A57398">
              <w:t xml:space="preserve"> </w:t>
            </w:r>
            <w:r>
              <w:t xml:space="preserve">1. </w:t>
            </w:r>
            <w:r w:rsidRPr="00A57398">
              <w:t>Organ</w:t>
            </w:r>
            <w:r>
              <w:t xml:space="preserve"> centralny oraz organ publiczny </w:t>
            </w:r>
            <w:r w:rsidRPr="00A57398">
              <w:t>umieszcza</w:t>
            </w:r>
            <w:r>
              <w:t>ją na swoich stronach internetowych, w sposób</w:t>
            </w:r>
            <w:r w:rsidRPr="00A57398">
              <w:t xml:space="preserve"> zrozumiały</w:t>
            </w:r>
            <w:r>
              <w:t xml:space="preserve"> dla zgłaszającego,</w:t>
            </w:r>
            <w:r w:rsidRPr="00A57398">
              <w:t xml:space="preserve"> informacje o:</w:t>
            </w:r>
          </w:p>
          <w:p w:rsidR="00462DF7" w:rsidRPr="00AB3048" w:rsidRDefault="00462DF7" w:rsidP="00462DF7">
            <w:pPr>
              <w:pStyle w:val="PKTpunkt"/>
            </w:pPr>
            <w:r w:rsidRPr="00AB3048">
              <w:t>1)</w:t>
            </w:r>
            <w:r>
              <w:tab/>
            </w:r>
            <w:r w:rsidRPr="00AB3048">
              <w:t>danych kontaktowych umożliwiających dokonanie zgłoszenia</w:t>
            </w:r>
            <w:r>
              <w:t xml:space="preserve"> zewnętrznego</w:t>
            </w:r>
            <w:r w:rsidRPr="00AB3048">
              <w:t>, w szczególności adres pocztowy i elektroniczny oraz numer infolinii;</w:t>
            </w:r>
            <w:r w:rsidRPr="00AB3048">
              <w:tab/>
            </w:r>
          </w:p>
          <w:p w:rsidR="00462DF7" w:rsidRPr="00AB3048" w:rsidRDefault="00462DF7" w:rsidP="00462DF7">
            <w:pPr>
              <w:pStyle w:val="PKTpunkt"/>
            </w:pPr>
            <w:r w:rsidRPr="00AB3048">
              <w:t>2)</w:t>
            </w:r>
            <w:r>
              <w:tab/>
              <w:t xml:space="preserve">warunkach kwalifikowania się </w:t>
            </w:r>
            <w:r w:rsidRPr="00AB3048">
              <w:t>zgłaszającego</w:t>
            </w:r>
            <w:r>
              <w:t xml:space="preserve"> do</w:t>
            </w:r>
            <w:r w:rsidRPr="00AB3048">
              <w:t xml:space="preserve"> objęcia ochroną;</w:t>
            </w:r>
          </w:p>
          <w:p w:rsidR="00462DF7" w:rsidRPr="00AB3048" w:rsidRDefault="00462DF7" w:rsidP="00462DF7">
            <w:pPr>
              <w:pStyle w:val="PKTpunkt"/>
            </w:pPr>
            <w:r w:rsidRPr="00AB3048">
              <w:lastRenderedPageBreak/>
              <w:t>3)</w:t>
            </w:r>
            <w:r w:rsidRPr="00AB3048">
              <w:tab/>
            </w:r>
            <w:r>
              <w:t>trybie postępowania</w:t>
            </w:r>
            <w:r w:rsidRPr="00AB3048">
              <w:t xml:space="preserve"> mający</w:t>
            </w:r>
            <w:r>
              <w:t>m</w:t>
            </w:r>
            <w:r w:rsidRPr="00AB3048">
              <w:t xml:space="preserve"> zastosowanie w przypadku zgłoszenia</w:t>
            </w:r>
            <w:r w:rsidRPr="009552C3">
              <w:t xml:space="preserve"> </w:t>
            </w:r>
            <w:r>
              <w:t>zewnętrznego</w:t>
            </w:r>
            <w:r w:rsidRPr="00AB3048">
              <w:t>;</w:t>
            </w:r>
          </w:p>
          <w:p w:rsidR="00462DF7" w:rsidRPr="00AB3048" w:rsidRDefault="00462DF7" w:rsidP="00462DF7">
            <w:pPr>
              <w:pStyle w:val="PKTpunkt"/>
            </w:pPr>
            <w:r w:rsidRPr="00AB3048">
              <w:t>4)</w:t>
            </w:r>
            <w:r w:rsidRPr="00AB3048">
              <w:tab/>
              <w:t>zasadach poufności mających zastosowanie do zgłoszeń</w:t>
            </w:r>
            <w:r w:rsidRPr="009552C3">
              <w:t xml:space="preserve"> </w:t>
            </w:r>
            <w:r>
              <w:t>zewnętrznych</w:t>
            </w:r>
            <w:r w:rsidRPr="00AB3048">
              <w:t xml:space="preserve">, w </w:t>
            </w:r>
            <w:r>
              <w:t xml:space="preserve">tym </w:t>
            </w:r>
            <w:r w:rsidRPr="00AB3048">
              <w:t>informacje związane z przetwarzaniem danych osobowych;</w:t>
            </w:r>
          </w:p>
          <w:p w:rsidR="00462DF7" w:rsidRPr="00AB3048" w:rsidRDefault="00462DF7" w:rsidP="00462DF7">
            <w:pPr>
              <w:pStyle w:val="PKTpunkt"/>
            </w:pPr>
            <w:r w:rsidRPr="00AB3048">
              <w:t>5)</w:t>
            </w:r>
            <w:r w:rsidRPr="00AB3048">
              <w:tab/>
              <w:t>charakterze działań następczych</w:t>
            </w:r>
            <w:r>
              <w:t xml:space="preserve"> podejmowanych w związku ze zgłoszeniem zewnętrznym</w:t>
            </w:r>
            <w:r w:rsidRPr="00AB3048">
              <w:t>;</w:t>
            </w:r>
          </w:p>
          <w:p w:rsidR="00462DF7" w:rsidRPr="00AB3048" w:rsidRDefault="00462DF7" w:rsidP="00462DF7">
            <w:pPr>
              <w:pStyle w:val="PKTpunkt"/>
            </w:pPr>
            <w:r w:rsidRPr="00AB3048">
              <w:t>6)</w:t>
            </w:r>
            <w:r w:rsidRPr="00AB3048">
              <w:tab/>
              <w:t>środkach ochrony prawnej i procedurach służących ochronie przed działa</w:t>
            </w:r>
            <w:r>
              <w:t>niami odwetowymi oraz dostępności</w:t>
            </w:r>
            <w:r w:rsidRPr="00AB3048">
              <w:t xml:space="preserve"> poufnej porady dla osób rozważających dokonanie zgłoszenia</w:t>
            </w:r>
            <w:r>
              <w:t xml:space="preserve"> zewnętrznego</w:t>
            </w:r>
            <w:r w:rsidRPr="00AB3048">
              <w:t>;</w:t>
            </w:r>
          </w:p>
          <w:p w:rsidR="00462DF7" w:rsidRDefault="00462DF7" w:rsidP="00462DF7">
            <w:pPr>
              <w:pStyle w:val="PKTpunkt"/>
            </w:pPr>
            <w:r w:rsidRPr="00AB3048">
              <w:t>7)</w:t>
            </w:r>
            <w:r w:rsidRPr="00AB3048">
              <w:tab/>
              <w:t xml:space="preserve">warunkach, na jakich zgłaszający jest chroniony przed </w:t>
            </w:r>
            <w:r w:rsidRPr="00AB3048">
              <w:lastRenderedPageBreak/>
              <w:t>ponoszeniem odpowiedzialności za naruszenie poufności</w:t>
            </w:r>
            <w:r>
              <w:t>.</w:t>
            </w:r>
            <w:r w:rsidRPr="00A57398">
              <w:t>.</w:t>
            </w:r>
          </w:p>
          <w:p w:rsidR="00462DF7" w:rsidRDefault="00462DF7" w:rsidP="00462DF7">
            <w:pPr>
              <w:pStyle w:val="USTustnpkodeksu"/>
            </w:pPr>
            <w:r>
              <w:t>2. Organ publiczny umieszcza na swojej stronie internetowej także</w:t>
            </w:r>
            <w:r w:rsidRPr="00EF21BE">
              <w:t xml:space="preserve"> informacje</w:t>
            </w:r>
            <w:r>
              <w:t xml:space="preserve"> o danych kontaktowych organu centralnego.</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14</w:t>
            </w:r>
          </w:p>
        </w:tc>
        <w:tc>
          <w:tcPr>
            <w:tcW w:w="5953" w:type="dxa"/>
          </w:tcPr>
          <w:p w:rsidR="008F2D63" w:rsidRPr="009C62C8" w:rsidRDefault="008F2D63" w:rsidP="009C62C8">
            <w:pPr>
              <w:pStyle w:val="sti-art"/>
              <w:shd w:val="clear" w:color="auto" w:fill="FFFFFF"/>
              <w:spacing w:before="60" w:beforeAutospacing="0" w:after="120" w:afterAutospacing="0"/>
              <w:ind w:left="720"/>
              <w:jc w:val="center"/>
              <w:rPr>
                <w:rFonts w:asciiTheme="minorHAnsi" w:hAnsiTheme="minorHAnsi" w:cstheme="minorHAnsi"/>
                <w:b/>
                <w:bCs/>
                <w:color w:val="444444"/>
              </w:rPr>
            </w:pPr>
            <w:r w:rsidRPr="009C62C8">
              <w:rPr>
                <w:rFonts w:asciiTheme="minorHAnsi" w:hAnsiTheme="minorHAnsi" w:cstheme="minorHAnsi"/>
                <w:b/>
                <w:bCs/>
                <w:color w:val="444444"/>
              </w:rPr>
              <w:t>Przegląd procedur dokonywany przez właściwe organy</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Państwa członkowskie zapewniają, aby właściwe organy regularnie, a przynajmniej raz na trzy lata, dokonywały przeglądu procedur przyjmowania zgłoszeń oraz podejmowania działań następczych w związku z tymi zgłoszeniami. Dokonując przeglądu takich procedur, właściwe organy uwzględniają swoje doświadczenie, jak również doświadczenie innych właściwych organów i odpowiednio dostosowują swoje procedury.</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t>T</w:t>
            </w:r>
          </w:p>
        </w:tc>
        <w:tc>
          <w:tcPr>
            <w:tcW w:w="850"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t>Art. 5</w:t>
            </w:r>
            <w:r w:rsidR="00462DF7">
              <w:rPr>
                <w:rFonts w:asciiTheme="minorHAnsi" w:hAnsiTheme="minorHAnsi" w:cstheme="minorHAnsi"/>
                <w:b/>
                <w:szCs w:val="24"/>
              </w:rPr>
              <w:t>0</w:t>
            </w:r>
          </w:p>
        </w:tc>
        <w:tc>
          <w:tcPr>
            <w:tcW w:w="3827" w:type="dxa"/>
          </w:tcPr>
          <w:p w:rsidR="00462DF7" w:rsidRDefault="00462DF7" w:rsidP="00496190">
            <w:pPr>
              <w:pStyle w:val="ARTartustawynprozporzdzenia"/>
              <w:ind w:firstLine="0"/>
            </w:pPr>
            <w:r w:rsidRPr="0099528D">
              <w:rPr>
                <w:rStyle w:val="Ppogrubienie"/>
              </w:rPr>
              <w:t xml:space="preserve">Art. </w:t>
            </w:r>
            <w:r>
              <w:rPr>
                <w:rStyle w:val="Ppogrubienie"/>
              </w:rPr>
              <w:t>50</w:t>
            </w:r>
            <w:r w:rsidRPr="0099528D">
              <w:rPr>
                <w:rStyle w:val="Ppogrubienie"/>
              </w:rPr>
              <w:t>.</w:t>
            </w:r>
            <w:r w:rsidRPr="00A57398">
              <w:t xml:space="preserve"> </w:t>
            </w:r>
            <w:r>
              <w:t>Mając na względzie doświadczenie w zakresie zgłoszeń zewnętrznych, r</w:t>
            </w:r>
            <w:r w:rsidRPr="00A57398">
              <w:t>az na trzy lata</w:t>
            </w:r>
            <w:r>
              <w:t>:</w:t>
            </w:r>
          </w:p>
          <w:p w:rsidR="00462DF7" w:rsidRDefault="00462DF7" w:rsidP="00462DF7">
            <w:pPr>
              <w:pStyle w:val="PKTpunkt"/>
            </w:pPr>
            <w:r>
              <w:t>1)</w:t>
            </w:r>
            <w:r>
              <w:tab/>
              <w:t xml:space="preserve">organ centralny – </w:t>
            </w:r>
            <w:r w:rsidRPr="00A57398">
              <w:t xml:space="preserve">dokonuje przeglądu procedur przyjmowania zgłoszeń </w:t>
            </w:r>
            <w:r w:rsidRPr="00F909ED">
              <w:t>zewnętrznych</w:t>
            </w:r>
            <w:r>
              <w:t>;</w:t>
            </w:r>
            <w:r w:rsidRPr="00F909ED">
              <w:t xml:space="preserve"> </w:t>
            </w:r>
          </w:p>
          <w:p w:rsidR="00462DF7" w:rsidRDefault="00462DF7" w:rsidP="00462DF7">
            <w:pPr>
              <w:pStyle w:val="PKTpunkt"/>
            </w:pPr>
            <w:r>
              <w:t>2)</w:t>
            </w:r>
            <w:r>
              <w:tab/>
              <w:t xml:space="preserve">organ publiczny – </w:t>
            </w:r>
            <w:r w:rsidRPr="00A57398">
              <w:t xml:space="preserve">dokonuje przeglądu procedur przyjmowania zgłoszeń </w:t>
            </w:r>
            <w:r w:rsidRPr="00F909ED">
              <w:t>zewnętrznych oraz podejmowania działań następczych</w:t>
            </w:r>
            <w:r>
              <w:t>.</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15</w:t>
            </w:r>
          </w:p>
        </w:tc>
        <w:tc>
          <w:tcPr>
            <w:tcW w:w="5953" w:type="dxa"/>
          </w:tcPr>
          <w:p w:rsidR="008F2D63" w:rsidRPr="00AD24FA" w:rsidRDefault="008F2D63"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Ujawnianie publiczne</w:t>
            </w:r>
          </w:p>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   Osoba, która dokonuje ujawnienia publicznego, kwalifikuje się do objęcia ochroną na mocy niniejszej dyrektywy, jeżeli spełniony jest którykolwiek z następujących warunków:</w:t>
            </w:r>
          </w:p>
          <w:tbl>
            <w:tblPr>
              <w:tblW w:w="5000" w:type="pct"/>
              <w:tblLayout w:type="fixed"/>
              <w:tblCellMar>
                <w:left w:w="0" w:type="dxa"/>
                <w:right w:w="0" w:type="dxa"/>
              </w:tblCellMar>
              <w:tblLook w:val="04A0" w:firstRow="1" w:lastRow="0" w:firstColumn="1" w:lastColumn="0" w:noHBand="0" w:noVBand="1"/>
            </w:tblPr>
            <w:tblGrid>
              <w:gridCol w:w="122"/>
              <w:gridCol w:w="5615"/>
            </w:tblGrid>
            <w:tr w:rsidR="008F2D63" w:rsidRPr="00AD24FA" w:rsidTr="008F2D63">
              <w:tc>
                <w:tcPr>
                  <w:tcW w:w="18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219"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osoba ta dokonała w pierwszej kolejności zgłoszenia wewnętrznego i zewnętrznego lub od razu zgłoszenia zewnętrznego zgodnie z rozdziałami II i III, ale w odpowiedzi na jej zgłoszenie nie zostały podjęte żadne odpowiednie działania w terminie, o którym mowa w art. 9 ust. 1 lit. f) lub art. 11 ust. 2 lit. d); lub</w:t>
                  </w:r>
                </w:p>
              </w:tc>
            </w:tr>
          </w:tbl>
          <w:p w:rsidR="008F2D63" w:rsidRPr="00AD24FA" w:rsidRDefault="008F2D63"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8F2D63" w:rsidRPr="00AD24FA" w:rsidTr="008F2D63">
              <w:tc>
                <w:tcPr>
                  <w:tcW w:w="200"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osoba ta ma uzasadnione podstawy, by sądzić, że:</w:t>
                  </w:r>
                </w:p>
                <w:tbl>
                  <w:tblPr>
                    <w:tblW w:w="5000" w:type="pct"/>
                    <w:tblLayout w:type="fixed"/>
                    <w:tblCellMar>
                      <w:left w:w="0" w:type="dxa"/>
                      <w:right w:w="0" w:type="dxa"/>
                    </w:tblCellMar>
                    <w:tblLook w:val="04A0" w:firstRow="1" w:lastRow="0" w:firstColumn="1" w:lastColumn="0" w:noHBand="0" w:noVBand="1"/>
                  </w:tblPr>
                  <w:tblGrid>
                    <w:gridCol w:w="146"/>
                    <w:gridCol w:w="5462"/>
                  </w:tblGrid>
                  <w:tr w:rsidR="008F2D63" w:rsidRPr="00AD24FA">
                    <w:tc>
                      <w:tcPr>
                        <w:tcW w:w="227"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(i</w:t>
                        </w:r>
                      </w:p>
                    </w:tc>
                    <w:tc>
                      <w:tcPr>
                        <w:tcW w:w="8979"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8F2D63" w:rsidRPr="00AD24FA">
                          <w:rPr>
                            <w:rFonts w:asciiTheme="minorHAnsi" w:hAnsiTheme="minorHAnsi" w:cstheme="minorHAnsi"/>
                            <w:szCs w:val="24"/>
                            <w:lang w:eastAsia="pl-PL"/>
                          </w:rPr>
                          <w:t>naruszenie może stanowić bezpośrednie lub oczywiste zagrożenie dla interesu publicznego, na przykład w przypadku sytuacji wyjątkowej lub ryzyka wystąpienia nieodwracalnej szkody; lub</w:t>
                        </w:r>
                      </w:p>
                    </w:tc>
                  </w:tr>
                </w:tbl>
                <w:p w:rsidR="008F2D63" w:rsidRPr="00AD24FA" w:rsidRDefault="008F2D63" w:rsidP="00AD24FA">
                  <w:pPr>
                    <w:widowControl/>
                    <w:autoSpaceDE/>
                    <w:autoSpaceDN/>
                    <w:adjustRightInd/>
                    <w:spacing w:line="240" w:lineRule="auto"/>
                    <w:rPr>
                      <w:rFonts w:asciiTheme="minorHAnsi" w:hAnsiTheme="minorHAnsi" w:cstheme="minorHAnsi"/>
                      <w:vanish/>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86"/>
                    <w:gridCol w:w="5422"/>
                  </w:tblGrid>
                  <w:tr w:rsidR="008F2D63" w:rsidRPr="00AD24FA">
                    <w:tc>
                      <w:tcPr>
                        <w:tcW w:w="294" w:type="dxa"/>
                        <w:shd w:val="clear" w:color="auto" w:fill="auto"/>
                        <w:hideMark/>
                      </w:tcPr>
                      <w:p w:rsidR="008F2D63" w:rsidRPr="00AD24FA" w:rsidRDefault="008F2D63"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(i</w:t>
                        </w:r>
                      </w:p>
                    </w:tc>
                    <w:tc>
                      <w:tcPr>
                        <w:tcW w:w="8912" w:type="dxa"/>
                        <w:shd w:val="clear" w:color="auto" w:fill="auto"/>
                        <w:hideMark/>
                      </w:tcPr>
                      <w:p w:rsidR="008F2D63"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i) </w:t>
                        </w:r>
                        <w:r w:rsidR="008F2D63" w:rsidRPr="00AD24FA">
                          <w:rPr>
                            <w:rFonts w:asciiTheme="minorHAnsi" w:hAnsiTheme="minorHAnsi" w:cstheme="minorHAnsi"/>
                            <w:szCs w:val="24"/>
                            <w:lang w:eastAsia="pl-PL"/>
                          </w:rPr>
                          <w:t>w przypadku dokonania zgłoszenia zewnętrznego grozić jej będą działania odwetowe lub istnieje niewielkie prawdopodobieństwo skutecznego zaradzenia naruszeniu z uwagi na szczególne okoliczności sprawy, takie jak możliwość ukrycia lub zniszczenia dowodów lub możliwość istnienia zmowy między organem a sprawcą naruszenia lub udziału organu w naruszeniu.</w:t>
                        </w:r>
                      </w:p>
                    </w:tc>
                  </w:tr>
                </w:tbl>
                <w:p w:rsidR="008F2D63" w:rsidRPr="00AD24FA" w:rsidRDefault="008F2D63" w:rsidP="00AD24FA">
                  <w:pPr>
                    <w:widowControl/>
                    <w:autoSpaceDE/>
                    <w:autoSpaceDN/>
                    <w:adjustRightInd/>
                    <w:spacing w:line="240" w:lineRule="auto"/>
                    <w:rPr>
                      <w:rFonts w:asciiTheme="minorHAnsi" w:hAnsiTheme="minorHAnsi" w:cstheme="minorHAnsi"/>
                      <w:szCs w:val="24"/>
                      <w:lang w:eastAsia="pl-PL"/>
                    </w:rPr>
                  </w:pPr>
                </w:p>
              </w:tc>
            </w:tr>
          </w:tbl>
          <w:p w:rsidR="008F2D63" w:rsidRPr="00AD24FA" w:rsidRDefault="008F2D63"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2.   Niniejszego artykułu nie stosuje się w przypadku, gdy dana osoba ujawnia informacje bezpośrednio do prasy zgodnie ze szczególnymi przepisami krajowymi </w:t>
            </w:r>
            <w:r w:rsidRPr="00AD24FA">
              <w:rPr>
                <w:rFonts w:asciiTheme="minorHAnsi" w:hAnsiTheme="minorHAnsi" w:cstheme="minorHAnsi"/>
                <w:color w:val="444444"/>
                <w:szCs w:val="24"/>
                <w:lang w:eastAsia="pl-PL"/>
              </w:rPr>
              <w:lastRenderedPageBreak/>
              <w:t>ustanawiającymi system ochrony w związku z wolnością wypowiedzi i informacji.</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t>Art. 5</w:t>
            </w:r>
            <w:r w:rsidR="00462DF7">
              <w:rPr>
                <w:rFonts w:asciiTheme="minorHAnsi" w:hAnsiTheme="minorHAnsi" w:cstheme="minorHAnsi"/>
                <w:b/>
                <w:szCs w:val="24"/>
              </w:rPr>
              <w:t>2</w:t>
            </w:r>
          </w:p>
        </w:tc>
        <w:tc>
          <w:tcPr>
            <w:tcW w:w="3827" w:type="dxa"/>
          </w:tcPr>
          <w:p w:rsidR="00462DF7" w:rsidRPr="00A57398" w:rsidRDefault="00462DF7" w:rsidP="00496190">
            <w:pPr>
              <w:pStyle w:val="ARTartustawynprozporzdzenia"/>
              <w:ind w:firstLine="0"/>
            </w:pPr>
            <w:r w:rsidRPr="0099528D">
              <w:rPr>
                <w:rStyle w:val="Ppogrubienie"/>
              </w:rPr>
              <w:t>Art. 5</w:t>
            </w:r>
            <w:r>
              <w:rPr>
                <w:rStyle w:val="Ppogrubienie"/>
              </w:rPr>
              <w:t>2</w:t>
            </w:r>
            <w:r w:rsidRPr="0099528D">
              <w:rPr>
                <w:rStyle w:val="Ppogrubienie"/>
              </w:rPr>
              <w:t>.</w:t>
            </w:r>
            <w:r w:rsidRPr="00A57398">
              <w:t xml:space="preserve"> Zgłaszający dokonujący ujawnienia publicznego podlega ochronie, jeżeli:</w:t>
            </w:r>
          </w:p>
          <w:p w:rsidR="00462DF7" w:rsidRPr="00A57398" w:rsidRDefault="00462DF7" w:rsidP="00462DF7">
            <w:pPr>
              <w:pStyle w:val="PKTpunkt"/>
            </w:pPr>
            <w:r>
              <w:t>1)</w:t>
            </w:r>
            <w:r>
              <w:tab/>
            </w:r>
            <w:r w:rsidRPr="00A57398">
              <w:t>dokona zgłoszenia wewnętrznego</w:t>
            </w:r>
            <w:r>
              <w:t>,</w:t>
            </w:r>
            <w:r w:rsidRPr="00A57398">
              <w:t xml:space="preserve"> a następnie zgłoszenia zewnętrznego i w terminie na przekazanie informacji zwrotnej ustalonym w regulaminie zgłoszeń wewnętrznych, następnie zaś w terminie na przekazanie informacji zwrotnej ustalonym w procedurze zgłaszania naruszeń prawa organowi publicznemu, pracodawca, a następnie organ publiczny, nie podejmą odpowiednich działań następczych lub nie przekażą zgłaszającemu informacji zwrotnej, lub</w:t>
            </w:r>
          </w:p>
          <w:p w:rsidR="00462DF7" w:rsidRPr="00A57398" w:rsidRDefault="00462DF7" w:rsidP="00462DF7">
            <w:pPr>
              <w:pStyle w:val="PKTpunkt"/>
            </w:pPr>
            <w:r>
              <w:lastRenderedPageBreak/>
              <w:t>2)</w:t>
            </w:r>
            <w:r>
              <w:tab/>
            </w:r>
            <w:r w:rsidRPr="00A57398">
              <w:t>dokona od razu zgłoszenia zewnętrznego i w terminie na przekazanie informacji zwrotnej ustalonym w procedurze zgłaszania naruszeń prawa organowi publicznemu organ publiczny nie podejmie odpowiednich działań następczych lub nie przekaże zgłaszającemu informacji zwrotnej.</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16</w:t>
            </w:r>
          </w:p>
        </w:tc>
        <w:tc>
          <w:tcPr>
            <w:tcW w:w="5953" w:type="dxa"/>
          </w:tcPr>
          <w:p w:rsidR="008F2D63" w:rsidRPr="00AD24FA" w:rsidRDefault="008F2D63"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Obowiązek zachowania poufności</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1.   Państwa członkowskie zapewniają, by tożsamość osoby dokonującej zgłoszenia nie została ujawniona – bez wyraźnej zgody tej osoby – żadnej osobie, która nie jest upoważnionym członkiem personelu właściwym do przyjmowania zgłoszeń i podejmowania w związku z nimi działań następczych. Ma to również zastosowanie do wszelkich innych informacji, na podstawie których można bezpośrednio lub pośrednio zidentyfikować tożsamość osoby dokonującej zgłoszenia.</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 xml:space="preserve">2.   W drodze odstępstwa od ust. 1, tożsamość osoby dokonującej zgłoszenia i wszelkie inne informacje, o których mowa w ust. 1, mogą zostać ujawnione jedynie </w:t>
            </w:r>
            <w:r w:rsidRPr="00AD24FA">
              <w:rPr>
                <w:rFonts w:asciiTheme="minorHAnsi" w:hAnsiTheme="minorHAnsi" w:cstheme="minorHAnsi"/>
                <w:color w:val="444444"/>
              </w:rPr>
              <w:lastRenderedPageBreak/>
              <w:t>wtedy, gdy takie ujawnienie jest koniecznym i proporcjonalnym obowiązkiem wynikającym z prawa Unii lub prawa krajowego w kontekście prowadzonych przez organy krajowe postępowań wyjaśniających lub postępowań sądowych, w tym w celu zagwarantowania prawa do obrony przysługującego osobie, której dotyczy zgłoszenie.</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3.   Ujawnianie dokonane zgodnie z odstępstwem przewidzianym w ust. 2, jest objęte odpowiednimi zabezpieczeniami zgodnie z obowiązującymi przepisami unijnymi i krajowymi. W szczególności zanim tożsamość osób dokonujących zgłoszenia zostanie ujawniona, muszą one zostać o tym powiadomione, chyba że takie powiadomienie mogłoby zagrozić powiązanemu postępowaniu wyjaśniającemu lub postępowaniu sądowemu. Powiadamiając osoby dokonujące zgłoszenia, właściwy organ przesyła im pisemne wyjaśnienie powodów ujawnienia odnośnych poufnych danych.</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4.   Państwa członkowskie zapewniają, aby właściwe organy otrzymujące informacje na temat naruszeń, które zawierają tajemnice przedsiębiorstwa, nie wykorzystywały ani nie ujawniały tych tajemnic przedsiębiorstwa do celów wykraczających poza to, co jest niezbędnie do podejmowania odpowiednich działań następczych.</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t>Art. 4</w:t>
            </w:r>
            <w:r w:rsidR="00462DF7">
              <w:rPr>
                <w:rFonts w:asciiTheme="minorHAnsi" w:hAnsiTheme="minorHAnsi" w:cstheme="minorHAnsi"/>
                <w:b/>
                <w:szCs w:val="24"/>
              </w:rPr>
              <w:t>4</w:t>
            </w:r>
            <w:r w:rsidRPr="00AD24FA">
              <w:rPr>
                <w:rFonts w:asciiTheme="minorHAnsi" w:hAnsiTheme="minorHAnsi" w:cstheme="minorHAnsi"/>
                <w:b/>
                <w:szCs w:val="24"/>
              </w:rPr>
              <w:t xml:space="preserve"> </w:t>
            </w:r>
            <w:r w:rsidR="00496190">
              <w:rPr>
                <w:rFonts w:asciiTheme="minorHAnsi" w:hAnsiTheme="minorHAnsi" w:cstheme="minorHAnsi"/>
                <w:b/>
                <w:szCs w:val="24"/>
              </w:rPr>
              <w:t xml:space="preserve">i art. </w:t>
            </w:r>
            <w:r w:rsidRPr="00AD24FA">
              <w:rPr>
                <w:rFonts w:asciiTheme="minorHAnsi" w:hAnsiTheme="minorHAnsi" w:cstheme="minorHAnsi"/>
                <w:b/>
                <w:szCs w:val="24"/>
              </w:rPr>
              <w:t>4</w:t>
            </w:r>
            <w:r w:rsidR="00496190">
              <w:rPr>
                <w:rFonts w:asciiTheme="minorHAnsi" w:hAnsiTheme="minorHAnsi" w:cstheme="minorHAnsi"/>
                <w:b/>
                <w:szCs w:val="24"/>
              </w:rPr>
              <w:t>5</w:t>
            </w:r>
          </w:p>
        </w:tc>
        <w:tc>
          <w:tcPr>
            <w:tcW w:w="3827" w:type="dxa"/>
          </w:tcPr>
          <w:p w:rsidR="00462DF7" w:rsidRDefault="00462DF7" w:rsidP="00496190">
            <w:pPr>
              <w:pStyle w:val="ARTartustawynprozporzdzenia"/>
              <w:ind w:firstLine="0"/>
            </w:pPr>
            <w:r w:rsidRPr="0099528D">
              <w:rPr>
                <w:rStyle w:val="Ppogrubienie"/>
              </w:rPr>
              <w:t>Art. 4</w:t>
            </w:r>
            <w:r>
              <w:rPr>
                <w:rStyle w:val="Ppogrubienie"/>
              </w:rPr>
              <w:t>4</w:t>
            </w:r>
            <w:r w:rsidRPr="0099528D">
              <w:rPr>
                <w:rStyle w:val="Ppogrubienie"/>
              </w:rPr>
              <w:t>.</w:t>
            </w:r>
            <w:r w:rsidRPr="00A57398">
              <w:t xml:space="preserve"> 1. Procedura przyjmowania i weryfikacji zgłoszeń</w:t>
            </w:r>
            <w:r>
              <w:t xml:space="preserve"> zewnętrznych</w:t>
            </w:r>
            <w:r w:rsidRPr="00A57398">
              <w:t>, podejmowania działań następczych oraz związanego z tym przetwarzania danych osobowych</w:t>
            </w:r>
            <w:r>
              <w:t>:</w:t>
            </w:r>
          </w:p>
          <w:p w:rsidR="00462DF7" w:rsidRPr="009552C3" w:rsidRDefault="00462DF7" w:rsidP="00462DF7">
            <w:pPr>
              <w:pStyle w:val="PKTpunkt"/>
            </w:pPr>
            <w:r>
              <w:t>1</w:t>
            </w:r>
            <w:r w:rsidRPr="009552C3">
              <w:t>)</w:t>
            </w:r>
            <w:r>
              <w:tab/>
            </w:r>
            <w:r w:rsidRPr="009552C3">
              <w:t>uniemożliwia uzyskanie dostępu do informacji objętej zgłoszeniem zewnętrznym nieupoważnionym osobom</w:t>
            </w:r>
            <w:r>
              <w:t>;</w:t>
            </w:r>
          </w:p>
          <w:p w:rsidR="00462DF7" w:rsidRPr="009552C3" w:rsidRDefault="00462DF7" w:rsidP="00462DF7">
            <w:pPr>
              <w:pStyle w:val="PKTpunkt"/>
            </w:pPr>
            <w:r>
              <w:lastRenderedPageBreak/>
              <w:t>2</w:t>
            </w:r>
            <w:r w:rsidRPr="009552C3">
              <w:t>)</w:t>
            </w:r>
            <w:r>
              <w:tab/>
            </w:r>
            <w:r w:rsidRPr="009552C3">
              <w:t xml:space="preserve">zapewnia ochronę poufności tożsamości osoby dokonującej zgłoszenia i osoby, której dotyczy zgłoszenie. </w:t>
            </w:r>
          </w:p>
          <w:p w:rsidR="00462DF7" w:rsidRPr="00A57398" w:rsidRDefault="00462DF7" w:rsidP="00462DF7">
            <w:pPr>
              <w:pStyle w:val="USTustnpkodeksu"/>
            </w:pPr>
            <w:r>
              <w:t xml:space="preserve">2. </w:t>
            </w:r>
            <w:r w:rsidRPr="00A57398">
              <w:t>Ochrona poufności</w:t>
            </w:r>
            <w:r>
              <w:t xml:space="preserve">, o której mowa w ust. 1 pkt 2, </w:t>
            </w:r>
            <w:r w:rsidRPr="00A57398">
              <w:t>dotyczy informacji na podstawie których można bezpośrednio lub pośrednio zidentyfikować tożsamość</w:t>
            </w:r>
            <w:r>
              <w:t xml:space="preserve"> </w:t>
            </w:r>
            <w:r w:rsidRPr="00A57398">
              <w:t>osob</w:t>
            </w:r>
            <w:r>
              <w:t>y dokonującej zgłoszenia oraz osoby której dotyczy zgłoszenie</w:t>
            </w:r>
            <w:r w:rsidRPr="00A57398">
              <w:t xml:space="preserve">. </w:t>
            </w:r>
          </w:p>
          <w:p w:rsidR="00462DF7" w:rsidRDefault="00462DF7" w:rsidP="00496190">
            <w:pPr>
              <w:pStyle w:val="ARTartustawynprozporzdzenia"/>
              <w:ind w:firstLine="0"/>
            </w:pPr>
            <w:r w:rsidRPr="0099528D">
              <w:rPr>
                <w:rStyle w:val="Ppogrubienie"/>
              </w:rPr>
              <w:t>Art. 4</w:t>
            </w:r>
            <w:r>
              <w:rPr>
                <w:rStyle w:val="Ppogrubienie"/>
              </w:rPr>
              <w:t>5</w:t>
            </w:r>
            <w:r w:rsidRPr="0099528D">
              <w:rPr>
                <w:rStyle w:val="Ppogrubienie"/>
              </w:rPr>
              <w:t>.</w:t>
            </w:r>
            <w:r>
              <w:t xml:space="preserve"> 1. </w:t>
            </w:r>
            <w:r w:rsidRPr="00C2433B">
              <w:t xml:space="preserve">Organ </w:t>
            </w:r>
            <w:r w:rsidRPr="004D041B">
              <w:t>centralny</w:t>
            </w:r>
            <w:r>
              <w:t xml:space="preserve"> oraz </w:t>
            </w:r>
            <w:r w:rsidRPr="004D041B">
              <w:t xml:space="preserve">organ publiczny </w:t>
            </w:r>
            <w:r>
              <w:t xml:space="preserve">upoważniają </w:t>
            </w:r>
            <w:r w:rsidRPr="00C2433B">
              <w:t xml:space="preserve">spośród pracowników </w:t>
            </w:r>
            <w:r>
              <w:t xml:space="preserve">urzędu obsługującego dany organ </w:t>
            </w:r>
            <w:r w:rsidRPr="00C2433B">
              <w:t xml:space="preserve">osoby uprawnione do </w:t>
            </w:r>
            <w:r>
              <w:t>przyjmowania zgłoszeń zewnętrznych, dokonywania ich wstępnej weryfikacji</w:t>
            </w:r>
            <w:r w:rsidRPr="00A57398">
              <w:t>, podejmowania działań następczych oraz</w:t>
            </w:r>
            <w:r w:rsidRPr="00447D53">
              <w:t xml:space="preserve"> </w:t>
            </w:r>
            <w:r w:rsidRPr="00A57398">
              <w:t xml:space="preserve">związanego z tym </w:t>
            </w:r>
            <w:r>
              <w:t>przetwarzania danych osobowych.</w:t>
            </w:r>
            <w:r w:rsidRPr="00A57398">
              <w:t xml:space="preserve"> Upoważnieni </w:t>
            </w:r>
            <w:r w:rsidRPr="00A57398">
              <w:lastRenderedPageBreak/>
              <w:t xml:space="preserve">pracownicy organu </w:t>
            </w:r>
            <w:r>
              <w:t>centralnego albo organu publicznego</w:t>
            </w:r>
            <w:r w:rsidRPr="00A57398">
              <w:t xml:space="preserve"> są obowiązani do zachowania tajemnicy.</w:t>
            </w:r>
          </w:p>
          <w:p w:rsidR="00462DF7" w:rsidRDefault="00462DF7" w:rsidP="00462DF7">
            <w:pPr>
              <w:pStyle w:val="USTustnpkodeksu"/>
            </w:pPr>
            <w:r>
              <w:t>2</w:t>
            </w:r>
            <w:r w:rsidRPr="00A57398">
              <w:t xml:space="preserve">. </w:t>
            </w:r>
            <w:r>
              <w:t>W przypadku gdy</w:t>
            </w:r>
            <w:r w:rsidRPr="00A57398">
              <w:t xml:space="preserve"> zgłoszenie </w:t>
            </w:r>
            <w:r>
              <w:t>zewnętrze zostało przyjęte przez</w:t>
            </w:r>
            <w:r w:rsidRPr="00A57398">
              <w:t xml:space="preserve"> nieupoważnion</w:t>
            </w:r>
            <w:r>
              <w:t>ego</w:t>
            </w:r>
            <w:r w:rsidRPr="00A57398">
              <w:t xml:space="preserve"> pracownik</w:t>
            </w:r>
            <w:r>
              <w:t>a</w:t>
            </w:r>
            <w:r w:rsidRPr="00A57398">
              <w:t xml:space="preserve"> organu </w:t>
            </w:r>
            <w:r>
              <w:t>centralnego albo organu publicznego,</w:t>
            </w:r>
            <w:r w:rsidRPr="00A57398">
              <w:t xml:space="preserve"> </w:t>
            </w:r>
            <w:r>
              <w:t xml:space="preserve">pracownik ten </w:t>
            </w:r>
            <w:r w:rsidRPr="00A57398">
              <w:t>jest obowiązany do</w:t>
            </w:r>
            <w:r>
              <w:t>:</w:t>
            </w:r>
          </w:p>
          <w:p w:rsidR="00462DF7" w:rsidRPr="00290CC0" w:rsidRDefault="00462DF7" w:rsidP="00462DF7">
            <w:pPr>
              <w:pStyle w:val="PKTpunkt"/>
            </w:pPr>
            <w:r>
              <w:t>1</w:t>
            </w:r>
            <w:r w:rsidRPr="00290CC0">
              <w:t>)</w:t>
            </w:r>
            <w:r>
              <w:tab/>
            </w:r>
            <w:r w:rsidRPr="00290CC0">
              <w:t>nieujawniania informacji mogących skutkować ustaleniem tożsamości osoby dokonującej zgłoszenia lub osoby, której dotyczy zgłoszenie;</w:t>
            </w:r>
          </w:p>
          <w:p w:rsidR="00462DF7" w:rsidRDefault="00462DF7" w:rsidP="00462DF7">
            <w:pPr>
              <w:pStyle w:val="PKTpunkt"/>
            </w:pPr>
            <w:r>
              <w:t>2</w:t>
            </w:r>
            <w:r w:rsidRPr="00290CC0">
              <w:t>)</w:t>
            </w:r>
            <w:r>
              <w:tab/>
            </w:r>
            <w:r w:rsidRPr="00290CC0">
              <w:t xml:space="preserve">niezwłocznego przekazania zgłoszenia zewnętrznego upoważnionemu pracownikowi organu </w:t>
            </w:r>
            <w:r>
              <w:t>centralnego albo organu publicznego</w:t>
            </w:r>
            <w:r w:rsidRPr="00290CC0">
              <w:t xml:space="preserve">, bez wprowadzania zmian w tym zgłoszeniu. </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17</w:t>
            </w:r>
          </w:p>
        </w:tc>
        <w:tc>
          <w:tcPr>
            <w:tcW w:w="5953" w:type="dxa"/>
          </w:tcPr>
          <w:p w:rsidR="00555C0D" w:rsidRPr="00AD24FA" w:rsidRDefault="00555C0D"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Przetwarzanie danych osobowych</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Przetwarzania danych osobowych zgodnie z niniejszą dyrektywą, w tym wymiany lub przekazywania danych osobowych przez właściwe organy, dokonuje się zgodnie z rozporządzeniem (UE) 2016/679 i dyrektywą (UE) 2016/680. Wymiany i przekazywania informacji przez instytucje, organy lub jednostki organizacyjne Unii dokonuje się zgodnie z rozporządzeniem (UE) 2018/1725.</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Dane osobowe, które w sposób oczywisty nie mają znaczenia dla rozpatrywania konkretnego zgłoszenia, nie są zbierane, a w razie przypadkowego zebrania, są usuwane bez zbędnej zwłoki.</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t>T</w:t>
            </w:r>
          </w:p>
        </w:tc>
        <w:tc>
          <w:tcPr>
            <w:tcW w:w="850" w:type="dxa"/>
          </w:tcPr>
          <w:p w:rsidR="008F2D63" w:rsidRPr="00AD24FA" w:rsidRDefault="00B95111" w:rsidP="00AD24FA">
            <w:pPr>
              <w:spacing w:line="240" w:lineRule="auto"/>
              <w:rPr>
                <w:rFonts w:asciiTheme="minorHAnsi" w:hAnsiTheme="minorHAnsi" w:cstheme="minorHAnsi"/>
                <w:b/>
                <w:szCs w:val="24"/>
              </w:rPr>
            </w:pPr>
            <w:r w:rsidRPr="00AD24FA">
              <w:rPr>
                <w:rFonts w:asciiTheme="minorHAnsi" w:hAnsiTheme="minorHAnsi" w:cstheme="minorHAnsi"/>
                <w:b/>
                <w:szCs w:val="24"/>
              </w:rPr>
              <w:t>Art</w:t>
            </w:r>
            <w:r w:rsidR="00AD24FA" w:rsidRPr="00AD24FA">
              <w:rPr>
                <w:rFonts w:asciiTheme="minorHAnsi" w:hAnsiTheme="minorHAnsi" w:cstheme="minorHAnsi"/>
                <w:b/>
                <w:szCs w:val="24"/>
              </w:rPr>
              <w:t xml:space="preserve">. </w:t>
            </w:r>
            <w:r w:rsidR="00462DF7">
              <w:rPr>
                <w:rFonts w:asciiTheme="minorHAnsi" w:hAnsiTheme="minorHAnsi" w:cstheme="minorHAnsi"/>
                <w:b/>
                <w:szCs w:val="24"/>
              </w:rPr>
              <w:t>30</w:t>
            </w:r>
            <w:r w:rsidRPr="00AD24FA">
              <w:rPr>
                <w:rFonts w:asciiTheme="minorHAnsi" w:hAnsiTheme="minorHAnsi" w:cstheme="minorHAnsi"/>
                <w:b/>
                <w:szCs w:val="24"/>
              </w:rPr>
              <w:t xml:space="preserve"> </w:t>
            </w:r>
            <w:r w:rsidR="00AD24FA" w:rsidRPr="00AD24FA">
              <w:rPr>
                <w:rFonts w:asciiTheme="minorHAnsi" w:hAnsiTheme="minorHAnsi" w:cstheme="minorHAnsi"/>
                <w:b/>
                <w:szCs w:val="24"/>
              </w:rPr>
              <w:t xml:space="preserve">oraz art. </w:t>
            </w:r>
            <w:r w:rsidR="00462DF7">
              <w:rPr>
                <w:rFonts w:asciiTheme="minorHAnsi" w:hAnsiTheme="minorHAnsi" w:cstheme="minorHAnsi"/>
                <w:b/>
                <w:szCs w:val="24"/>
              </w:rPr>
              <w:t>46</w:t>
            </w:r>
          </w:p>
        </w:tc>
        <w:tc>
          <w:tcPr>
            <w:tcW w:w="3827" w:type="dxa"/>
          </w:tcPr>
          <w:p w:rsidR="00462DF7" w:rsidRPr="00A57398" w:rsidRDefault="00462DF7" w:rsidP="00496190">
            <w:pPr>
              <w:pStyle w:val="ARTartustawynprozporzdzenia"/>
              <w:ind w:firstLine="0"/>
            </w:pPr>
            <w:r w:rsidRPr="00391239">
              <w:rPr>
                <w:rStyle w:val="Ppogrubienie"/>
              </w:rPr>
              <w:t>Art. 3</w:t>
            </w:r>
            <w:r>
              <w:rPr>
                <w:rStyle w:val="Ppogrubienie"/>
              </w:rPr>
              <w:t>0</w:t>
            </w:r>
            <w:r w:rsidRPr="00391239">
              <w:rPr>
                <w:rStyle w:val="Ppogrubienie"/>
              </w:rPr>
              <w:t>.</w:t>
            </w:r>
            <w:r w:rsidRPr="00A57398">
              <w:t xml:space="preserve"> 1. Organizacja przyjmowania i weryfikacji zgłoszeń, podejmowania działań następczych oraz związanego z tym przetwarzania danych osobowych uniemożliwia uzyskanie dostępu do informacji objętej zgłoszeniem nieupoważnionym osobom oraz zapewnia ochronę poufności tożsamości osoby dokonującej zgłoszenia i osoby, której dotyczy zgłoszenie. Ochrona poufności dotyczy informacji, na podstawie których można bezpośrednio lub pośrednio zidentyfikować tożsamość takich osób. </w:t>
            </w:r>
          </w:p>
          <w:p w:rsidR="00462DF7" w:rsidRPr="00A57398" w:rsidRDefault="00462DF7" w:rsidP="00462DF7">
            <w:pPr>
              <w:pStyle w:val="USTustnpkodeksu"/>
            </w:pPr>
            <w:r w:rsidRPr="00A57398">
              <w:t xml:space="preserve">2. Do przyjmowania i weryfikacji zgłoszeń, podejmowania działań następczych oraz przetwarzania danych osobowych osób, o których mowa w ust. 1, mogą </w:t>
            </w:r>
            <w:r w:rsidRPr="00A57398">
              <w:lastRenderedPageBreak/>
              <w:t>być dopuszczone wyłącznie osoby posiadające pisemne upoważnienie pracodawcy. Osoby upoważnione są obowiązane do zachowania tajemnicy.</w:t>
            </w:r>
          </w:p>
          <w:p w:rsidR="00462DF7" w:rsidRPr="00A57398" w:rsidRDefault="00462DF7" w:rsidP="00462DF7">
            <w:pPr>
              <w:pStyle w:val="USTustnpkodeksu"/>
            </w:pPr>
            <w:r w:rsidRPr="00A57398">
              <w:t>3. Pracodawca stosuje rozwiązania techniczne i organizacyjne zapewniające przechowywanie danych osobowych zgłaszającego oddzielnie od dokumentu lub innego nośnika informacji obejmujących zgłoszenie, włączając w to, w odpowiednim przypadku, usunięcie z treści dokumentu lub innego nośnika informacji niezwłocznie po ich otrzymaniu wszystkich danych osobowych zgłaszającego.</w:t>
            </w:r>
          </w:p>
          <w:p w:rsidR="00AD24FA" w:rsidRPr="00AD24FA" w:rsidRDefault="00AD24FA" w:rsidP="00AD24FA">
            <w:pPr>
              <w:pStyle w:val="ARTartustawynprozporzdzenia"/>
              <w:spacing w:line="240" w:lineRule="auto"/>
              <w:ind w:firstLine="0"/>
              <w:rPr>
                <w:rFonts w:asciiTheme="minorHAnsi" w:hAnsiTheme="minorHAnsi" w:cstheme="minorHAnsi"/>
                <w:szCs w:val="24"/>
              </w:rPr>
            </w:pPr>
          </w:p>
          <w:p w:rsidR="00462DF7" w:rsidRDefault="00462DF7" w:rsidP="00496190">
            <w:pPr>
              <w:pStyle w:val="ARTartustawynprozporzdzenia"/>
              <w:ind w:firstLine="0"/>
            </w:pPr>
            <w:r w:rsidRPr="0099528D">
              <w:rPr>
                <w:rStyle w:val="Ppogrubienie"/>
              </w:rPr>
              <w:t xml:space="preserve">Art. </w:t>
            </w:r>
            <w:r>
              <w:rPr>
                <w:rStyle w:val="Ppogrubienie"/>
              </w:rPr>
              <w:t>46</w:t>
            </w:r>
            <w:r w:rsidRPr="0099528D">
              <w:rPr>
                <w:rStyle w:val="Ppogrubienie"/>
              </w:rPr>
              <w:t>.</w:t>
            </w:r>
            <w:r w:rsidRPr="00A57398">
              <w:t xml:space="preserve"> 1. Obsługa zgłoszeń zewnętrznych </w:t>
            </w:r>
            <w:r>
              <w:t xml:space="preserve">może </w:t>
            </w:r>
            <w:r w:rsidRPr="00A57398">
              <w:t>odbywa</w:t>
            </w:r>
            <w:r>
              <w:t>ć</w:t>
            </w:r>
            <w:r w:rsidRPr="00A57398">
              <w:t xml:space="preserve"> się w</w:t>
            </w:r>
            <w:r>
              <w:t xml:space="preserve"> </w:t>
            </w:r>
            <w:r>
              <w:lastRenderedPageBreak/>
              <w:t>s</w:t>
            </w:r>
            <w:r w:rsidRPr="00A57398">
              <w:t>ystemie teleinformatycznym organu</w:t>
            </w:r>
            <w:r>
              <w:t xml:space="preserve"> centralnego albo organu publicznego. Przepis art. 44 ust. 1 i 2 stosuje się.</w:t>
            </w:r>
          </w:p>
          <w:p w:rsidR="00462DF7" w:rsidRPr="00BA6585" w:rsidRDefault="00462DF7" w:rsidP="00462DF7">
            <w:pPr>
              <w:pStyle w:val="USTustnpkodeksu"/>
            </w:pPr>
            <w:r w:rsidRPr="00033DDA">
              <w:t xml:space="preserve">2. </w:t>
            </w:r>
            <w:r w:rsidRPr="00BA6585">
              <w:t> W przypadku, o którym mowa w ust. 1, z</w:t>
            </w:r>
            <w:r w:rsidRPr="00BA6585">
              <w:rPr>
                <w:rStyle w:val="Uwydatnienie"/>
              </w:rPr>
              <w:t xml:space="preserve">głoszenie </w:t>
            </w:r>
            <w:r w:rsidRPr="008E5915">
              <w:rPr>
                <w:rStyle w:val="Uwydatnienie"/>
              </w:rPr>
              <w:t xml:space="preserve">zewnętrzne </w:t>
            </w:r>
            <w:r w:rsidRPr="00033DDA">
              <w:rPr>
                <w:rStyle w:val="Uwydatnienie"/>
              </w:rPr>
              <w:t xml:space="preserve">jest </w:t>
            </w:r>
            <w:r w:rsidRPr="00BA6585">
              <w:t xml:space="preserve">składane w formie dokumentu elektronicznego, zgodnie ze wzorem udostępnionym </w:t>
            </w:r>
            <w:r>
              <w:t xml:space="preserve">na stronie internetowej </w:t>
            </w:r>
            <w:r w:rsidRPr="00BA6585">
              <w:t>przez organ</w:t>
            </w:r>
            <w:r w:rsidRPr="004D041B">
              <w:t xml:space="preserve"> </w:t>
            </w:r>
            <w:r>
              <w:t>centralny albo organ publiczny</w:t>
            </w:r>
            <w:r w:rsidRPr="00BA6585">
              <w:t xml:space="preserve">. </w:t>
            </w:r>
          </w:p>
          <w:p w:rsidR="00462DF7" w:rsidRDefault="00462DF7" w:rsidP="00462DF7">
            <w:pPr>
              <w:pStyle w:val="USTustnpkodeksu"/>
            </w:pPr>
            <w:r>
              <w:t>3. Z</w:t>
            </w:r>
            <w:r w:rsidRPr="006F120A">
              <w:t>głoszeniu zewnętrznemu</w:t>
            </w:r>
            <w:r w:rsidRPr="004433CD">
              <w:t xml:space="preserve"> s</w:t>
            </w:r>
            <w:r>
              <w:t xml:space="preserve">kładanemu </w:t>
            </w:r>
            <w:r w:rsidRPr="004433CD">
              <w:t>w fo</w:t>
            </w:r>
            <w:r>
              <w:t>rmie dokumentu elektronicznego</w:t>
            </w:r>
            <w:r w:rsidRPr="006F120A">
              <w:t xml:space="preserve"> jest nadawany in</w:t>
            </w:r>
            <w:r>
              <w:t>dywidualny numer sprawy i login</w:t>
            </w:r>
            <w:r w:rsidRPr="006F120A">
              <w:t>.</w:t>
            </w:r>
            <w:r w:rsidRPr="007E2EB9">
              <w:t xml:space="preserve"> </w:t>
            </w:r>
          </w:p>
          <w:p w:rsidR="00462DF7" w:rsidRDefault="00462DF7" w:rsidP="00462DF7">
            <w:pPr>
              <w:pStyle w:val="USTustnpkodeksu"/>
            </w:pPr>
            <w:r>
              <w:t>4. Potwierdzenie</w:t>
            </w:r>
            <w:r w:rsidRPr="007E2EB9">
              <w:t xml:space="preserve"> przyjęcia zgłoszenia zewnętrznego w formie dokumentu elektronicznego</w:t>
            </w:r>
            <w:r>
              <w:t xml:space="preserve"> następuje </w:t>
            </w:r>
            <w:r w:rsidRPr="007E2EB9">
              <w:t>automatycznie</w:t>
            </w:r>
            <w:r>
              <w:t xml:space="preserve">. </w:t>
            </w:r>
            <w:r w:rsidRPr="007E2EB9">
              <w:t xml:space="preserve"> </w:t>
            </w:r>
          </w:p>
          <w:p w:rsidR="00462DF7" w:rsidRDefault="00462DF7" w:rsidP="00462DF7">
            <w:pPr>
              <w:pStyle w:val="USTustnpkodeksu"/>
            </w:pPr>
            <w:r>
              <w:t>5. W</w:t>
            </w:r>
            <w:r w:rsidRPr="004433CD">
              <w:t xml:space="preserve"> systemie teleinformatycznym</w:t>
            </w:r>
            <w:r>
              <w:t>:</w:t>
            </w:r>
          </w:p>
          <w:p w:rsidR="00462DF7" w:rsidRDefault="00462DF7" w:rsidP="00462DF7">
            <w:pPr>
              <w:pStyle w:val="PKTpunkt"/>
            </w:pPr>
            <w:r>
              <w:t>1)</w:t>
            </w:r>
            <w:r>
              <w:tab/>
              <w:t>o</w:t>
            </w:r>
            <w:r w:rsidRPr="006F120A">
              <w:t>rgan</w:t>
            </w:r>
            <w:r>
              <w:t>:</w:t>
            </w:r>
          </w:p>
          <w:p w:rsidR="00462DF7" w:rsidRDefault="00462DF7" w:rsidP="00462DF7">
            <w:pPr>
              <w:pStyle w:val="LITlitera"/>
            </w:pPr>
            <w:r>
              <w:lastRenderedPageBreak/>
              <w:t>a)</w:t>
            </w:r>
            <w:r>
              <w:tab/>
            </w:r>
            <w:r w:rsidRPr="006F120A">
              <w:t>udostępnia zgłaszającemu dane i informacje dotyczące zgłoszenia,</w:t>
            </w:r>
          </w:p>
          <w:p w:rsidR="00462DF7" w:rsidRDefault="00462DF7" w:rsidP="00462DF7">
            <w:pPr>
              <w:pStyle w:val="LITlitera"/>
            </w:pPr>
            <w:r>
              <w:t>b)</w:t>
            </w:r>
            <w:r>
              <w:tab/>
              <w:t>przekazuje informację zwrotną;</w:t>
            </w:r>
          </w:p>
          <w:p w:rsidR="00462DF7" w:rsidRDefault="00462DF7" w:rsidP="00462DF7">
            <w:pPr>
              <w:pStyle w:val="PKTpunkt"/>
            </w:pPr>
            <w:r>
              <w:t>2)</w:t>
            </w:r>
            <w:r>
              <w:tab/>
              <w:t>z</w:t>
            </w:r>
            <w:r w:rsidRPr="00DB476C">
              <w:t>głaszający ma możliwość zgłaszania oczywistych omyłek lub aktualizacji danych.</w:t>
            </w:r>
          </w:p>
          <w:p w:rsidR="00462DF7" w:rsidRPr="00A57398" w:rsidRDefault="00462DF7" w:rsidP="00462DF7">
            <w:pPr>
              <w:pStyle w:val="USTustnpkodeksu"/>
            </w:pPr>
            <w:r>
              <w:t>6</w:t>
            </w:r>
            <w:r w:rsidRPr="00A57398">
              <w:t>. Organ</w:t>
            </w:r>
            <w:r>
              <w:t xml:space="preserve"> przyjmujący zgłoszenie </w:t>
            </w:r>
            <w:r w:rsidRPr="00A57398">
              <w:t>odpowiada za wykonanie, utrzymanie i rozwój systemu teleinformatycznego.</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18</w:t>
            </w:r>
          </w:p>
        </w:tc>
        <w:tc>
          <w:tcPr>
            <w:tcW w:w="5953" w:type="dxa"/>
          </w:tcPr>
          <w:p w:rsidR="009C62C8" w:rsidRPr="009C62C8" w:rsidRDefault="009C62C8" w:rsidP="009C62C8">
            <w:pPr>
              <w:widowControl/>
              <w:shd w:val="clear" w:color="auto" w:fill="FFFFFF"/>
              <w:autoSpaceDE/>
              <w:autoSpaceDN/>
              <w:adjustRightInd/>
              <w:spacing w:before="120" w:line="240" w:lineRule="auto"/>
              <w:jc w:val="center"/>
              <w:rPr>
                <w:rFonts w:asciiTheme="minorHAnsi" w:hAnsiTheme="minorHAnsi" w:cstheme="minorHAnsi"/>
                <w:b/>
                <w:color w:val="444444"/>
                <w:szCs w:val="24"/>
                <w:lang w:eastAsia="pl-PL"/>
              </w:rPr>
            </w:pPr>
            <w:r w:rsidRPr="009C62C8">
              <w:rPr>
                <w:rFonts w:asciiTheme="minorHAnsi" w:hAnsiTheme="minorHAnsi" w:cstheme="minorHAnsi"/>
                <w:b/>
                <w:color w:val="444444"/>
                <w:szCs w:val="24"/>
                <w:lang w:eastAsia="pl-PL"/>
              </w:rPr>
              <w:t>Prowadzenie rejestrów zgłoszeń</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   Państwa członkowskie zapewniają, aby podmioty prawne w sektorze prywatnym i publicznym oraz właściwe organy prowadziły rejestr wszystkich przyjętych zgłoszeń, zgodnie z wymogami w zakresie poufności przewidzianymi w art. 16. Zgłoszenia przechowuje się nie dłużej, niż jest to konieczne i proporcjonalne, aby zapewnić zgodność z wymogami ustanowionymi w niniejszej dyrektywie lub innymi wymogami ustanowionymi w prawie unijnym lub krajowym.</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2.   Jeżeli zgłoszenie dokonywane jest za pośrednictwem nagrywanej linii telefonicznej lub innego nagrywanego systemu komunikacji głosowej, podmioty prawne w sektorze prywatnym i publicznym oraz właściwe organy mają prawo, za zgodą osoby dokonującej zgłoszenia, udokumentować zgłoszenie ustne w jeden z następujących sposobów:</w:t>
            </w:r>
          </w:p>
          <w:tbl>
            <w:tblPr>
              <w:tblW w:w="5000" w:type="pct"/>
              <w:tblLayout w:type="fixed"/>
              <w:tblCellMar>
                <w:left w:w="0" w:type="dxa"/>
                <w:right w:w="0" w:type="dxa"/>
              </w:tblCellMar>
              <w:tblLook w:val="04A0" w:firstRow="1" w:lastRow="0" w:firstColumn="1" w:lastColumn="0" w:noHBand="0" w:noVBand="1"/>
            </w:tblPr>
            <w:tblGrid>
              <w:gridCol w:w="147"/>
              <w:gridCol w:w="5590"/>
            </w:tblGrid>
            <w:tr w:rsidR="00555C0D" w:rsidRPr="00AD24FA" w:rsidTr="00555C0D">
              <w:tc>
                <w:tcPr>
                  <w:tcW w:w="228"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178" w:type="dxa"/>
                  <w:shd w:val="clear" w:color="auto" w:fill="auto"/>
                  <w:hideMark/>
                </w:tcPr>
                <w:p w:rsidR="00555C0D"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 </w:t>
                  </w:r>
                  <w:r w:rsidR="00555C0D" w:rsidRPr="00AD24FA">
                    <w:rPr>
                      <w:rFonts w:asciiTheme="minorHAnsi" w:hAnsiTheme="minorHAnsi" w:cstheme="minorHAnsi"/>
                      <w:szCs w:val="24"/>
                      <w:lang w:eastAsia="pl-PL"/>
                    </w:rPr>
                    <w:t>dokonując nagrania rozmowy w formie trwałej i możliwej do wyszukania; lub</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555C0D" w:rsidRPr="00AD24FA" w:rsidTr="00555C0D">
              <w:tc>
                <w:tcPr>
                  <w:tcW w:w="200"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555C0D"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555C0D" w:rsidRPr="00AD24FA">
                    <w:rPr>
                      <w:rFonts w:asciiTheme="minorHAnsi" w:hAnsiTheme="minorHAnsi" w:cstheme="minorHAnsi"/>
                      <w:szCs w:val="24"/>
                      <w:lang w:eastAsia="pl-PL"/>
                    </w:rPr>
                    <w:t>za pomocą kompletnej i dokładnej transkrypcji rozmowy przygotowanej przez członków personelu odpowiedzialnych za rozpatrzenie zgłoszenia.</w:t>
                  </w:r>
                </w:p>
              </w:tc>
            </w:tr>
          </w:tbl>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Podmioty prawne w sektorze prywatnym i publicznym oraz właściwe organy zapewniają osobie dokonującej zgłoszenia możliwość sprawdzenia, poprawienia i zatwierdzenia transkrypcji rozmowy telefonicznej poprzez jej podpisanie.</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3.   Jeżeli zgłoszenie dokonywane jest za pośrednictwem nienagrywanej linii telefonicznej lub innego nienagrywanego systemu komunikacji głosowej, podmioty prawne w sektorze prywatnym i publicznym oraz właściwe organy mają prawo udokumentować zgłoszenie ustne w formie dokładnego protokołu rozmowy sporządzonego przez członka personelu odpowiedzialnego za rozpatrzenie zgłoszenia. Podmioty prawne w sektorze prywatnym i publicznym oraz właściwe organy zapewniają osobie dokonującej zgłoszenia możliwość sprawdzenia, poprawienia i zatwierdzenia protokołu rozmowy poprzez jego podpisanie.</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4.   Jeżeli dana osoba zwróci się o spotkanie z członkami personelu podmiotów prawnych w sektorze prywatnym i publicznym oraz właściwych organów w celu dokonania zgłoszenia zgodnie z art. 9 ust. 2 i art. 12 ust. 2, podmioty prawne w sektorze prywatnym i publicznym oraz właściwe organy zapewniają, za zgodą osoby zgłaszającej, przechowywanie kompletnych i dokładnych zapisów ze spotkania w formie trwałej i możliwej do wyszukania.</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Podmioty prawne w sektorze prywatnym i publicznym oraz właściwe organy mają prawo udokumentować spotkanie w jeden z następujących sposobów:</w:t>
            </w:r>
          </w:p>
          <w:tbl>
            <w:tblPr>
              <w:tblW w:w="5000" w:type="pct"/>
              <w:tblLayout w:type="fixed"/>
              <w:tblCellMar>
                <w:left w:w="0" w:type="dxa"/>
                <w:right w:w="0" w:type="dxa"/>
              </w:tblCellMar>
              <w:tblLook w:val="04A0" w:firstRow="1" w:lastRow="0" w:firstColumn="1" w:lastColumn="0" w:noHBand="0" w:noVBand="1"/>
            </w:tblPr>
            <w:tblGrid>
              <w:gridCol w:w="147"/>
              <w:gridCol w:w="5590"/>
            </w:tblGrid>
            <w:tr w:rsidR="00555C0D" w:rsidRPr="00AD24FA" w:rsidTr="00555C0D">
              <w:tc>
                <w:tcPr>
                  <w:tcW w:w="228"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r w:rsidR="00175D7D" w:rsidRPr="00AD24FA">
                    <w:rPr>
                      <w:rFonts w:asciiTheme="minorHAnsi" w:hAnsiTheme="minorHAnsi" w:cstheme="minorHAnsi"/>
                      <w:szCs w:val="24"/>
                      <w:lang w:eastAsia="pl-PL"/>
                    </w:rPr>
                    <w:t xml:space="preserve"> </w:t>
                  </w:r>
                </w:p>
              </w:tc>
              <w:tc>
                <w:tcPr>
                  <w:tcW w:w="9178" w:type="dxa"/>
                  <w:shd w:val="clear" w:color="auto" w:fill="auto"/>
                  <w:hideMark/>
                </w:tcPr>
                <w:p w:rsidR="00555C0D" w:rsidRPr="00AD24FA" w:rsidRDefault="00175D7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555C0D" w:rsidRPr="00AD24FA">
                    <w:rPr>
                      <w:rFonts w:asciiTheme="minorHAnsi" w:hAnsiTheme="minorHAnsi" w:cstheme="minorHAnsi"/>
                      <w:szCs w:val="24"/>
                      <w:lang w:eastAsia="pl-PL"/>
                    </w:rPr>
                    <w:t>dokonując nagrania rozmowy w formie trwałej i możliwej do wyszukania; lub</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555C0D" w:rsidRPr="00AD24FA" w:rsidTr="00555C0D">
              <w:tc>
                <w:tcPr>
                  <w:tcW w:w="200"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555C0D" w:rsidRPr="00AD24FA">
                    <w:rPr>
                      <w:rFonts w:asciiTheme="minorHAnsi" w:hAnsiTheme="minorHAnsi" w:cstheme="minorHAnsi"/>
                      <w:szCs w:val="24"/>
                      <w:lang w:eastAsia="pl-PL"/>
                    </w:rPr>
                    <w:t>za pomocą dokładnego protokołu spotkania przygotowanego przez członków personelu właściwego organu odpowiedzialnych za rozpatrywanie zgłoszeń.</w:t>
                  </w:r>
                </w:p>
              </w:tc>
            </w:tr>
          </w:tbl>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Podmioty prawne w sektorze prywatnym i publicznym oraz właściwe organy zapewniają osobie dokonującej zgłoszenia możliwość sprawdzenia, poprawienia i zatwierdzenia protokołu spotkania poprzez jego podpisanie.</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C14BB8"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C14BB8" w:rsidRPr="00AD24FA" w:rsidRDefault="00C14BB8"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Art. </w:t>
            </w:r>
            <w:r w:rsidR="00462DF7">
              <w:rPr>
                <w:rFonts w:asciiTheme="minorHAnsi" w:hAnsiTheme="minorHAnsi" w:cstheme="minorHAnsi"/>
                <w:b/>
                <w:szCs w:val="24"/>
              </w:rPr>
              <w:t>28</w:t>
            </w:r>
            <w:r w:rsidR="005310A0">
              <w:rPr>
                <w:rFonts w:asciiTheme="minorHAnsi" w:hAnsiTheme="minorHAnsi" w:cstheme="minorHAnsi"/>
                <w:b/>
                <w:szCs w:val="24"/>
              </w:rPr>
              <w:t xml:space="preserve">, </w:t>
            </w:r>
          </w:p>
          <w:p w:rsidR="008F2D63" w:rsidRPr="00AD24FA"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t>art. 4</w:t>
            </w:r>
            <w:r w:rsidR="00BB2147">
              <w:rPr>
                <w:rFonts w:asciiTheme="minorHAnsi" w:hAnsiTheme="minorHAnsi" w:cstheme="minorHAnsi"/>
                <w:b/>
                <w:szCs w:val="24"/>
              </w:rPr>
              <w:t>2</w:t>
            </w:r>
            <w:r w:rsidRPr="00AD24FA">
              <w:rPr>
                <w:rFonts w:asciiTheme="minorHAnsi" w:hAnsiTheme="minorHAnsi" w:cstheme="minorHAnsi"/>
                <w:b/>
                <w:szCs w:val="24"/>
              </w:rPr>
              <w:t xml:space="preserve"> </w:t>
            </w:r>
            <w:r w:rsidR="005310A0">
              <w:rPr>
                <w:rFonts w:asciiTheme="minorHAnsi" w:hAnsiTheme="minorHAnsi" w:cstheme="minorHAnsi"/>
                <w:b/>
                <w:szCs w:val="24"/>
              </w:rPr>
              <w:t xml:space="preserve">oraz </w:t>
            </w:r>
            <w:r w:rsidRPr="00AD24FA">
              <w:rPr>
                <w:rFonts w:asciiTheme="minorHAnsi" w:hAnsiTheme="minorHAnsi" w:cstheme="minorHAnsi"/>
                <w:b/>
                <w:szCs w:val="24"/>
              </w:rPr>
              <w:t>art. 4</w:t>
            </w:r>
            <w:r w:rsidR="00BB2147">
              <w:rPr>
                <w:rFonts w:asciiTheme="minorHAnsi" w:hAnsiTheme="minorHAnsi" w:cstheme="minorHAnsi"/>
                <w:b/>
                <w:szCs w:val="24"/>
              </w:rPr>
              <w:t>3</w:t>
            </w:r>
          </w:p>
        </w:tc>
        <w:tc>
          <w:tcPr>
            <w:tcW w:w="3827" w:type="dxa"/>
          </w:tcPr>
          <w:p w:rsidR="00462DF7" w:rsidRDefault="00462DF7" w:rsidP="00496190">
            <w:pPr>
              <w:pStyle w:val="ARTartustawynprozporzdzenia"/>
              <w:ind w:firstLine="0"/>
            </w:pPr>
            <w:r w:rsidRPr="00391239">
              <w:rPr>
                <w:rStyle w:val="Ppogrubienie"/>
              </w:rPr>
              <w:t xml:space="preserve">Art. </w:t>
            </w:r>
            <w:r>
              <w:rPr>
                <w:rStyle w:val="Ppogrubienie"/>
              </w:rPr>
              <w:t>28</w:t>
            </w:r>
            <w:r w:rsidRPr="00391239">
              <w:rPr>
                <w:rStyle w:val="Ppogrubienie"/>
              </w:rPr>
              <w:t>.</w:t>
            </w:r>
            <w:r w:rsidRPr="00A57398">
              <w:t xml:space="preserve"> 1. Pracodawca ustala regulamin zgłoszeń wewnętrznych, określający wewnętrzną procedurę zgłaszania naruszeń </w:t>
            </w:r>
            <w:r>
              <w:t xml:space="preserve">prawa </w:t>
            </w:r>
            <w:r w:rsidRPr="00A57398">
              <w:t>i podejmowania działań następczych, zgodną z wymogami określonymi w niniejszym rozdziale.</w:t>
            </w:r>
          </w:p>
          <w:p w:rsidR="00462DF7" w:rsidRPr="00A57398" w:rsidRDefault="00462DF7" w:rsidP="00462DF7">
            <w:pPr>
              <w:pStyle w:val="USTustnpkodeksu"/>
            </w:pPr>
            <w:r>
              <w:lastRenderedPageBreak/>
              <w:t xml:space="preserve">2. Pracodawca </w:t>
            </w:r>
            <w:r w:rsidRPr="00D35166">
              <w:t xml:space="preserve">zatrudniający mniej niż 50 pracowników może </w:t>
            </w:r>
            <w:r>
              <w:t>ustalić regulamin zgłoszeń wewnętrznych.</w:t>
            </w:r>
          </w:p>
          <w:p w:rsidR="00462DF7" w:rsidRPr="00A57398" w:rsidRDefault="00462DF7" w:rsidP="00462DF7">
            <w:pPr>
              <w:pStyle w:val="USTustnpkodeksu"/>
            </w:pPr>
            <w:r>
              <w:t>3</w:t>
            </w:r>
            <w:r w:rsidRPr="00A57398">
              <w:t>. Regulamin zgłoszeń wewnętrznych pracodawca ustala</w:t>
            </w:r>
            <w:r w:rsidRPr="002E1ADF">
              <w:t xml:space="preserve"> po konsultacji z</w:t>
            </w:r>
            <w:r w:rsidRPr="00A57398">
              <w:t>:</w:t>
            </w:r>
          </w:p>
          <w:p w:rsidR="00462DF7" w:rsidRPr="00A57398" w:rsidRDefault="00462DF7" w:rsidP="00462DF7">
            <w:pPr>
              <w:pStyle w:val="PKTpunkt"/>
            </w:pPr>
            <w:r>
              <w:t>1)</w:t>
            </w:r>
            <w:r>
              <w:tab/>
            </w:r>
            <w:r w:rsidRPr="00A57398">
              <w:t>zakładow</w:t>
            </w:r>
            <w:r>
              <w:t>ą</w:t>
            </w:r>
            <w:r w:rsidRPr="00A57398">
              <w:t xml:space="preserve"> organizacj</w:t>
            </w:r>
            <w:r>
              <w:t>ą</w:t>
            </w:r>
            <w:r w:rsidRPr="00A57398">
              <w:t xml:space="preserve"> związkow</w:t>
            </w:r>
            <w:r>
              <w:t>ą</w:t>
            </w:r>
            <w:r w:rsidRPr="00A57398">
              <w:t xml:space="preserve"> albo</w:t>
            </w:r>
          </w:p>
          <w:p w:rsidR="00462DF7" w:rsidRPr="00A57398" w:rsidRDefault="00462DF7" w:rsidP="00462DF7">
            <w:pPr>
              <w:pStyle w:val="PKTpunkt"/>
            </w:pPr>
            <w:r>
              <w:t>2)</w:t>
            </w:r>
            <w:r>
              <w:tab/>
            </w:r>
            <w:r w:rsidRPr="00A57398">
              <w:t>przedstawicielami pracowników, wyłonionymi w trybie przyjętym u danego pracodawcy – jeżeli u pracodawcy nie działa zakładow</w:t>
            </w:r>
            <w:r>
              <w:t>a</w:t>
            </w:r>
            <w:r w:rsidRPr="00A57398">
              <w:t xml:space="preserve"> organizacj</w:t>
            </w:r>
            <w:r>
              <w:t>a</w:t>
            </w:r>
            <w:r w:rsidRPr="00A57398">
              <w:t xml:space="preserve"> związkowe.</w:t>
            </w:r>
          </w:p>
          <w:p w:rsidR="00462DF7" w:rsidRPr="00A57398" w:rsidRDefault="00462DF7" w:rsidP="00462DF7">
            <w:pPr>
              <w:pStyle w:val="USTustnpkodeksu"/>
            </w:pPr>
            <w:r>
              <w:t>4</w:t>
            </w:r>
            <w:r w:rsidRPr="00A57398">
              <w:t xml:space="preserve">. Regulamin zgłoszeń wewnętrznych wchodzi w życie po upływie 2 tygodni od dnia podania go do wiadomości pracowników w </w:t>
            </w:r>
            <w:r w:rsidRPr="00A57398">
              <w:lastRenderedPageBreak/>
              <w:t>sposób przyjęty u danego pracodawcy.</w:t>
            </w:r>
          </w:p>
          <w:p w:rsidR="00462DF7" w:rsidRPr="00A57398" w:rsidRDefault="00462DF7" w:rsidP="00462DF7">
            <w:pPr>
              <w:pStyle w:val="USTustnpkodeksu"/>
            </w:pPr>
            <w:r>
              <w:t>5</w:t>
            </w:r>
            <w:r w:rsidRPr="00A57398">
              <w:t>. Pracodawca jest obowiązany zapoznać pracownika z treścią regulaminu zgłoszeń wewnętrznych przed dopuszczeniem go do pracy.</w:t>
            </w:r>
          </w:p>
          <w:p w:rsidR="00AD24FA" w:rsidRPr="00AD24FA" w:rsidRDefault="00AD24FA" w:rsidP="00AD24FA">
            <w:pPr>
              <w:pStyle w:val="ARTartustawynprozporzdzenia"/>
              <w:spacing w:line="240" w:lineRule="auto"/>
              <w:rPr>
                <w:rFonts w:asciiTheme="minorHAnsi" w:hAnsiTheme="minorHAnsi" w:cstheme="minorHAnsi"/>
                <w:szCs w:val="24"/>
              </w:rPr>
            </w:pPr>
          </w:p>
          <w:p w:rsidR="00BB2147" w:rsidRPr="00A57398" w:rsidRDefault="00BB2147" w:rsidP="00496190">
            <w:pPr>
              <w:pStyle w:val="ARTartustawynprozporzdzenia"/>
              <w:ind w:firstLine="0"/>
            </w:pPr>
            <w:r w:rsidRPr="0099528D">
              <w:rPr>
                <w:rStyle w:val="Ppogrubienie"/>
              </w:rPr>
              <w:t>Art. 4</w:t>
            </w:r>
            <w:r>
              <w:rPr>
                <w:rStyle w:val="Ppogrubienie"/>
              </w:rPr>
              <w:t>2</w:t>
            </w:r>
            <w:r w:rsidRPr="0099528D">
              <w:rPr>
                <w:rStyle w:val="Ppogrubienie"/>
              </w:rPr>
              <w:t>.</w:t>
            </w:r>
            <w:r w:rsidRPr="00A57398">
              <w:t xml:space="preserve"> 1. Zgłoszenia zewnętrzne mogą być anonimowe lub umożliwiające identyfikację zgłaszającego.</w:t>
            </w:r>
          </w:p>
          <w:p w:rsidR="00BB2147" w:rsidRDefault="00BB2147" w:rsidP="00BB2147">
            <w:pPr>
              <w:pStyle w:val="USTustnpkodeksu"/>
            </w:pPr>
            <w:r>
              <w:t>2</w:t>
            </w:r>
            <w:r w:rsidRPr="00FB3FBE">
              <w:rPr>
                <w:bCs w:val="0"/>
              </w:rPr>
              <w:t>. W celu skutecznego podjęcia działań następczych oraz przekazania informacji o podjętych działaniach następczych</w:t>
            </w:r>
            <w:r>
              <w:t xml:space="preserve"> </w:t>
            </w:r>
            <w:r w:rsidRPr="00033DDA">
              <w:t xml:space="preserve">w zgłoszeniu zewnętrznym </w:t>
            </w:r>
            <w:r w:rsidRPr="00511308">
              <w:rPr>
                <w:bCs w:val="0"/>
              </w:rPr>
              <w:t xml:space="preserve">zgłaszający </w:t>
            </w:r>
            <w:r>
              <w:t xml:space="preserve">podaje </w:t>
            </w:r>
            <w:r w:rsidRPr="00511308">
              <w:rPr>
                <w:bCs w:val="0"/>
              </w:rPr>
              <w:t>adres korespondencyjny lub adres poczty elektronicznej, zwan</w:t>
            </w:r>
            <w:r>
              <w:t>e</w:t>
            </w:r>
            <w:r w:rsidRPr="00511308">
              <w:rPr>
                <w:bCs w:val="0"/>
              </w:rPr>
              <w:t xml:space="preserve"> dalej </w:t>
            </w:r>
            <w:r w:rsidRPr="00E95FCC">
              <w:t>„</w:t>
            </w:r>
            <w:r w:rsidRPr="00511308">
              <w:rPr>
                <w:bCs w:val="0"/>
              </w:rPr>
              <w:t>adresem do kontaktu</w:t>
            </w:r>
            <w:r w:rsidRPr="00E95FCC">
              <w:t>”</w:t>
            </w:r>
            <w:r>
              <w:t>.</w:t>
            </w:r>
          </w:p>
          <w:p w:rsidR="00BB2147" w:rsidRPr="00CC2A8F" w:rsidRDefault="00BB2147" w:rsidP="00BB2147">
            <w:pPr>
              <w:pStyle w:val="USTustnpkodeksu"/>
            </w:pPr>
            <w:r>
              <w:t>3.</w:t>
            </w:r>
            <w:r w:rsidRPr="002F4EA2">
              <w:t xml:space="preserve"> Administratorem danych podanych w zgłoszeniu zewnętrznym </w:t>
            </w:r>
            <w:r w:rsidRPr="002F4EA2">
              <w:lastRenderedPageBreak/>
              <w:t>jest organ</w:t>
            </w:r>
            <w:r>
              <w:t xml:space="preserve"> centralny albo organ publiczny, przyjmujący zgłoszenie zewnętrzne. </w:t>
            </w:r>
          </w:p>
          <w:p w:rsidR="00BB2147" w:rsidRPr="00A57398" w:rsidRDefault="00BB2147" w:rsidP="00496190">
            <w:pPr>
              <w:pStyle w:val="ARTartustawynprozporzdzenia"/>
              <w:ind w:firstLine="0"/>
            </w:pPr>
            <w:r w:rsidRPr="0099528D">
              <w:rPr>
                <w:rStyle w:val="Ppogrubienie"/>
              </w:rPr>
              <w:t>Art. 4</w:t>
            </w:r>
            <w:r>
              <w:rPr>
                <w:rStyle w:val="Ppogrubienie"/>
              </w:rPr>
              <w:t>3</w:t>
            </w:r>
            <w:r w:rsidRPr="0099528D">
              <w:rPr>
                <w:rStyle w:val="Ppogrubienie"/>
              </w:rPr>
              <w:t>.</w:t>
            </w:r>
            <w:r w:rsidRPr="00A57398">
              <w:t xml:space="preserve"> 1. Zgłoszenie zewnętrzne może być dokonane</w:t>
            </w:r>
            <w:r>
              <w:t xml:space="preserve"> ustnie lub w postaci papierowej lub elektronicznej</w:t>
            </w:r>
            <w:r w:rsidRPr="00A57398">
              <w:t>.</w:t>
            </w:r>
          </w:p>
          <w:p w:rsidR="00BB2147" w:rsidRDefault="00BB2147" w:rsidP="00BB2147">
            <w:pPr>
              <w:pStyle w:val="USTustnpkodeksu"/>
            </w:pPr>
            <w:r w:rsidRPr="00A57398">
              <w:t xml:space="preserve">2. Zgłoszenie w </w:t>
            </w:r>
            <w:r>
              <w:t xml:space="preserve">postaci papierowej lub elektronicznej </w:t>
            </w:r>
            <w:r w:rsidRPr="00A57398">
              <w:t>może być dokonane:</w:t>
            </w:r>
          </w:p>
          <w:p w:rsidR="00BB2147" w:rsidRPr="00D63841" w:rsidRDefault="00BB2147" w:rsidP="00BB2147">
            <w:pPr>
              <w:pStyle w:val="PKTpunkt"/>
            </w:pPr>
            <w:r w:rsidRPr="00D63841">
              <w:t>1)</w:t>
            </w:r>
            <w:r w:rsidRPr="00D63841">
              <w:tab/>
              <w:t xml:space="preserve">w postaci papierowej </w:t>
            </w:r>
            <w:r>
              <w:t xml:space="preserve">- </w:t>
            </w:r>
            <w:r w:rsidRPr="00D63841">
              <w:t>pod wskazany przez organ przyjmujący zgłoszenie adres do korespondencji;</w:t>
            </w:r>
          </w:p>
          <w:p w:rsidR="00BB2147" w:rsidRPr="00D63841" w:rsidRDefault="00BB2147" w:rsidP="00BB2147">
            <w:pPr>
              <w:pStyle w:val="PKTpunkt"/>
            </w:pPr>
            <w:r w:rsidRPr="00D63841">
              <w:t>2)</w:t>
            </w:r>
            <w:r w:rsidRPr="00D63841">
              <w:tab/>
              <w:t xml:space="preserve">w postaci elektronicznej </w:t>
            </w:r>
            <w:r>
              <w:t xml:space="preserve">- </w:t>
            </w:r>
            <w:r w:rsidRPr="00D63841">
              <w:t>pod wskazany przez</w:t>
            </w:r>
            <w:r w:rsidRPr="00D63841" w:rsidDel="0073527D">
              <w:t xml:space="preserve"> </w:t>
            </w:r>
            <w:r w:rsidRPr="00D63841">
              <w:t xml:space="preserve">organ przyjmujący zgłoszenie adres poczty elektronicznej. </w:t>
            </w:r>
          </w:p>
          <w:p w:rsidR="00BB2147" w:rsidRPr="00A57398" w:rsidRDefault="00BB2147" w:rsidP="00BB2147">
            <w:pPr>
              <w:pStyle w:val="USTustnpkodeksu"/>
            </w:pPr>
            <w:r w:rsidRPr="00A57398">
              <w:t xml:space="preserve">3. Zgłoszenie </w:t>
            </w:r>
            <w:r>
              <w:t xml:space="preserve">ustne </w:t>
            </w:r>
            <w:r w:rsidRPr="00A57398">
              <w:t>może być dokonane:</w:t>
            </w:r>
          </w:p>
          <w:p w:rsidR="00BB2147" w:rsidRPr="00A57398" w:rsidRDefault="00BB2147" w:rsidP="00BB2147">
            <w:pPr>
              <w:pStyle w:val="PKTpunkt"/>
            </w:pPr>
            <w:r w:rsidRPr="00A57398">
              <w:t>1)</w:t>
            </w:r>
            <w:r>
              <w:tab/>
            </w:r>
            <w:r w:rsidRPr="00A57398">
              <w:t>telefonicznie za pomocą nagrywanej infolinii;</w:t>
            </w:r>
          </w:p>
          <w:p w:rsidR="00BB2147" w:rsidRDefault="00BB2147" w:rsidP="00BB2147">
            <w:pPr>
              <w:pStyle w:val="PKTpunkt"/>
            </w:pPr>
            <w:r w:rsidRPr="00A57398">
              <w:lastRenderedPageBreak/>
              <w:t>2)</w:t>
            </w:r>
            <w:r>
              <w:tab/>
            </w:r>
            <w:r w:rsidRPr="00A57398">
              <w:t xml:space="preserve">na wniosek zgłaszającego </w:t>
            </w:r>
            <w:r>
              <w:t>–</w:t>
            </w:r>
            <w:r w:rsidRPr="00A57398">
              <w:t xml:space="preserve"> podczas bezpośredniego spotkania zorganizowanego w siedzibie </w:t>
            </w:r>
            <w:r>
              <w:t>o</w:t>
            </w:r>
            <w:r w:rsidRPr="00C2433B">
              <w:t>rgan</w:t>
            </w:r>
            <w:r>
              <w:t>u</w:t>
            </w:r>
            <w:r w:rsidRPr="00C2433B">
              <w:t xml:space="preserve"> przyjmują</w:t>
            </w:r>
            <w:r>
              <w:t>cego</w:t>
            </w:r>
            <w:r w:rsidRPr="00C2433B">
              <w:t xml:space="preserve"> zgłoszenie </w:t>
            </w:r>
            <w:r w:rsidRPr="00A57398">
              <w:t>w wyznaczonym terminie, nie dłuższym niż</w:t>
            </w:r>
            <w:r>
              <w:t xml:space="preserve"> 7 </w:t>
            </w:r>
            <w:r w:rsidRPr="00A57398">
              <w:t>dni</w:t>
            </w:r>
            <w:r>
              <w:t>, liczonych od dnia złożenia wniosku</w:t>
            </w:r>
            <w:r w:rsidRPr="00A57398">
              <w:t>.</w:t>
            </w:r>
          </w:p>
          <w:p w:rsidR="00BB2147" w:rsidRDefault="00BB2147" w:rsidP="00BB2147">
            <w:pPr>
              <w:pStyle w:val="USTustnpkodeksu"/>
            </w:pPr>
            <w:r>
              <w:t>4</w:t>
            </w:r>
            <w:r w:rsidRPr="00350D6E">
              <w:t xml:space="preserve">. </w:t>
            </w:r>
            <w:r w:rsidRPr="00C2433B">
              <w:t xml:space="preserve">Organ </w:t>
            </w:r>
            <w:r>
              <w:t xml:space="preserve">centralny albo organ publiczny </w:t>
            </w:r>
            <w:r w:rsidRPr="00C2433B">
              <w:t xml:space="preserve">przyjmujący zgłoszenie </w:t>
            </w:r>
            <w:r>
              <w:t xml:space="preserve">zewnętrzne </w:t>
            </w:r>
            <w:r w:rsidRPr="00350D6E">
              <w:t xml:space="preserve">potwierdza </w:t>
            </w:r>
            <w:r>
              <w:t>jego</w:t>
            </w:r>
            <w:r w:rsidRPr="00350D6E">
              <w:t xml:space="preserve"> </w:t>
            </w:r>
            <w:r>
              <w:t xml:space="preserve">przyjęcie zgłaszającemu </w:t>
            </w:r>
            <w:r w:rsidRPr="00350D6E">
              <w:t>na adres do kontaktu</w:t>
            </w:r>
            <w:r>
              <w:t xml:space="preserve"> </w:t>
            </w:r>
            <w:r w:rsidRPr="00350D6E">
              <w:t>niezwłocznie</w:t>
            </w:r>
            <w:r>
              <w:t>,</w:t>
            </w:r>
            <w:r w:rsidRPr="00350D6E">
              <w:t xml:space="preserve"> nie później jednak niż w terminie </w:t>
            </w:r>
            <w:r>
              <w:t xml:space="preserve">7 </w:t>
            </w:r>
            <w:r w:rsidRPr="00350D6E">
              <w:t>dni roboczych od dnia otrzymania zgłoszenia</w:t>
            </w:r>
            <w:r>
              <w:t xml:space="preserve"> pod warunkiem, że zgłaszający podał adresu do kontaktu. </w:t>
            </w:r>
          </w:p>
          <w:p w:rsidR="00BB2147" w:rsidRDefault="00BB2147" w:rsidP="00BB2147">
            <w:pPr>
              <w:pStyle w:val="USTustnpkodeksu"/>
            </w:pPr>
            <w:r>
              <w:t>5. P</w:t>
            </w:r>
            <w:r w:rsidRPr="00315831">
              <w:t xml:space="preserve">rzyjęte przez </w:t>
            </w:r>
            <w:r>
              <w:t>o</w:t>
            </w:r>
            <w:r w:rsidRPr="00C2433B">
              <w:t xml:space="preserve">rgan </w:t>
            </w:r>
            <w:r w:rsidRPr="004D041B">
              <w:t xml:space="preserve">centralny albo organ publiczny </w:t>
            </w:r>
            <w:r>
              <w:t>ś</w:t>
            </w:r>
            <w:r w:rsidRPr="00315831">
              <w:t xml:space="preserve">rodki komunikacji na potrzeby </w:t>
            </w:r>
            <w:r>
              <w:lastRenderedPageBreak/>
              <w:t xml:space="preserve">przyjmowania </w:t>
            </w:r>
            <w:r w:rsidRPr="00315831">
              <w:t xml:space="preserve">zgłoszeń </w:t>
            </w:r>
            <w:r>
              <w:t xml:space="preserve">zewnętrznych: </w:t>
            </w:r>
          </w:p>
          <w:p w:rsidR="00BB2147" w:rsidRDefault="00BB2147" w:rsidP="00BB2147">
            <w:pPr>
              <w:pStyle w:val="PKTpunkt"/>
            </w:pPr>
            <w:r w:rsidRPr="00315831">
              <w:t>1)</w:t>
            </w:r>
            <w:r>
              <w:tab/>
            </w:r>
            <w:r w:rsidRPr="00315831">
              <w:t xml:space="preserve">są niezależne od sposobów komunikacji wykorzystywanych w ramach zwykłej działalności </w:t>
            </w:r>
            <w:r>
              <w:t xml:space="preserve">tego organu; </w:t>
            </w:r>
          </w:p>
          <w:p w:rsidR="00BB2147" w:rsidRDefault="00BB2147" w:rsidP="00BB2147">
            <w:pPr>
              <w:pStyle w:val="PKTpunkt"/>
            </w:pPr>
            <w:r w:rsidRPr="00315831">
              <w:t>2)</w:t>
            </w:r>
            <w:r>
              <w:tab/>
              <w:t xml:space="preserve">zapewniają poufność i </w:t>
            </w:r>
            <w:r w:rsidRPr="00315831">
              <w:t xml:space="preserve">integralność </w:t>
            </w:r>
            <w:r>
              <w:t xml:space="preserve">danych, </w:t>
            </w:r>
            <w:r w:rsidRPr="00315831">
              <w:t>w tym ich zabezpieczenie przed odczytaniem przez osoby nieuprawnione</w:t>
            </w:r>
            <w:r>
              <w:t>.</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19</w:t>
            </w:r>
          </w:p>
        </w:tc>
        <w:tc>
          <w:tcPr>
            <w:tcW w:w="5953" w:type="dxa"/>
          </w:tcPr>
          <w:p w:rsidR="00555C0D" w:rsidRPr="00AD24FA" w:rsidRDefault="00555C0D"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Zakaz działań odwetowych</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Państwa członkowskie podejmują niezbędne środki, aby zakazać wszelkich form działań odwetowych wobec osób, o których mowa w art. 4, w tym gróźb działań odwetowych i prób podejmowania działań odwetowych, w tym w szczególności działań odwetowych podejmowanych w następujących formach:</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36"/>
              <w:gridCol w:w="5601"/>
            </w:tblGrid>
            <w:tr w:rsidR="00555C0D" w:rsidRPr="00AD24FA" w:rsidTr="00555C0D">
              <w:tc>
                <w:tcPr>
                  <w:tcW w:w="210"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a</w:t>
                  </w:r>
                </w:p>
              </w:tc>
              <w:tc>
                <w:tcPr>
                  <w:tcW w:w="9196"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555C0D" w:rsidRPr="00AD24FA">
                    <w:rPr>
                      <w:rFonts w:asciiTheme="minorHAnsi" w:hAnsiTheme="minorHAnsi" w:cstheme="minorHAnsi"/>
                      <w:color w:val="444444"/>
                      <w:szCs w:val="24"/>
                      <w:lang w:eastAsia="pl-PL"/>
                    </w:rPr>
                    <w:t>zawieszenia, przymusowego urlopu bezpłatnego, zwolnienia lub równoważnych środków;</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17"/>
              <w:gridCol w:w="5420"/>
            </w:tblGrid>
            <w:tr w:rsidR="00555C0D" w:rsidRPr="00AD24FA" w:rsidTr="00555C0D">
              <w:tc>
                <w:tcPr>
                  <w:tcW w:w="508"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b)</w:t>
                  </w:r>
                </w:p>
              </w:tc>
              <w:tc>
                <w:tcPr>
                  <w:tcW w:w="8898"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degradacji lub wstrzymania awansu;</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6"/>
              <w:gridCol w:w="5601"/>
            </w:tblGrid>
            <w:tr w:rsidR="00555C0D" w:rsidRPr="00AD24FA" w:rsidTr="00555C0D">
              <w:tc>
                <w:tcPr>
                  <w:tcW w:w="210"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c)</w:t>
                  </w:r>
                </w:p>
              </w:tc>
              <w:tc>
                <w:tcPr>
                  <w:tcW w:w="9196"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przekazania obowiązków, zmiany miejsca pracy, obniżenia wynagrodzenia, zmiany godzin pracy;</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08"/>
              <w:gridCol w:w="5229"/>
            </w:tblGrid>
            <w:tr w:rsidR="00555C0D" w:rsidRPr="00AD24FA" w:rsidTr="00555C0D">
              <w:tc>
                <w:tcPr>
                  <w:tcW w:w="823"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d)</w:t>
                  </w:r>
                </w:p>
              </w:tc>
              <w:tc>
                <w:tcPr>
                  <w:tcW w:w="8583"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wstrzymania szkoleń;</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652" w:type="dxa"/>
              <w:shd w:val="clear" w:color="auto" w:fill="FFFFFF"/>
              <w:tblLayout w:type="fixed"/>
              <w:tblCellMar>
                <w:left w:w="0" w:type="dxa"/>
                <w:right w:w="0" w:type="dxa"/>
              </w:tblCellMar>
              <w:tblLook w:val="04A0" w:firstRow="1" w:lastRow="0" w:firstColumn="1" w:lastColumn="0" w:noHBand="0" w:noVBand="1"/>
            </w:tblPr>
            <w:tblGrid>
              <w:gridCol w:w="351"/>
              <w:gridCol w:w="5301"/>
            </w:tblGrid>
            <w:tr w:rsidR="00555C0D" w:rsidRPr="00AD24FA" w:rsidTr="00CB6DCE">
              <w:tc>
                <w:tcPr>
                  <w:tcW w:w="351"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e)</w:t>
                  </w:r>
                </w:p>
              </w:tc>
              <w:tc>
                <w:tcPr>
                  <w:tcW w:w="5301"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negatywnej oceny wyników lub negatywnej opinii o pracy;</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7"/>
              <w:gridCol w:w="5620"/>
            </w:tblGrid>
            <w:tr w:rsidR="00555C0D" w:rsidRPr="00AD24FA" w:rsidTr="00555C0D">
              <w:tc>
                <w:tcPr>
                  <w:tcW w:w="180"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f</w:t>
                  </w:r>
                </w:p>
              </w:tc>
              <w:tc>
                <w:tcPr>
                  <w:tcW w:w="9226"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555C0D" w:rsidRPr="00AD24FA">
                    <w:rPr>
                      <w:rFonts w:asciiTheme="minorHAnsi" w:hAnsiTheme="minorHAnsi" w:cstheme="minorHAnsi"/>
                      <w:color w:val="444444"/>
                      <w:szCs w:val="24"/>
                      <w:lang w:eastAsia="pl-PL"/>
                    </w:rPr>
                    <w:t>nałożenia lub zastosowania jakiegokolwiek środka dyscyplinarnego, nagany lub innej kary, w tym finansowej;</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27"/>
              <w:gridCol w:w="5510"/>
            </w:tblGrid>
            <w:tr w:rsidR="00555C0D" w:rsidRPr="00AD24FA" w:rsidTr="00555C0D">
              <w:tc>
                <w:tcPr>
                  <w:tcW w:w="360"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g)</w:t>
                  </w:r>
                </w:p>
              </w:tc>
              <w:tc>
                <w:tcPr>
                  <w:tcW w:w="9046"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przymusu, zastraszania, </w:t>
                  </w:r>
                  <w:proofErr w:type="spellStart"/>
                  <w:r w:rsidRPr="00AD24FA">
                    <w:rPr>
                      <w:rFonts w:asciiTheme="minorHAnsi" w:hAnsiTheme="minorHAnsi" w:cstheme="minorHAnsi"/>
                      <w:color w:val="444444"/>
                      <w:szCs w:val="24"/>
                      <w:lang w:eastAsia="pl-PL"/>
                    </w:rPr>
                    <w:t>mobbingu</w:t>
                  </w:r>
                  <w:proofErr w:type="spellEnd"/>
                  <w:r w:rsidRPr="00AD24FA">
                    <w:rPr>
                      <w:rFonts w:asciiTheme="minorHAnsi" w:hAnsiTheme="minorHAnsi" w:cstheme="minorHAnsi"/>
                      <w:color w:val="444444"/>
                      <w:szCs w:val="24"/>
                      <w:lang w:eastAsia="pl-PL"/>
                    </w:rPr>
                    <w:t xml:space="preserve"> lub wykluczenia;</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80"/>
              <w:gridCol w:w="5557"/>
            </w:tblGrid>
            <w:tr w:rsidR="00555C0D" w:rsidRPr="00AD24FA" w:rsidTr="00555C0D">
              <w:tc>
                <w:tcPr>
                  <w:tcW w:w="283"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h</w:t>
                  </w:r>
                </w:p>
              </w:tc>
              <w:tc>
                <w:tcPr>
                  <w:tcW w:w="9123"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555C0D" w:rsidRPr="00AD24FA">
                    <w:rPr>
                      <w:rFonts w:asciiTheme="minorHAnsi" w:hAnsiTheme="minorHAnsi" w:cstheme="minorHAnsi"/>
                      <w:color w:val="444444"/>
                      <w:szCs w:val="24"/>
                      <w:lang w:eastAsia="pl-PL"/>
                    </w:rPr>
                    <w:t>dyskryminacji, niekorzystnego lub niesprawiedliwego traktowania;</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8"/>
              <w:gridCol w:w="5629"/>
            </w:tblGrid>
            <w:tr w:rsidR="00555C0D" w:rsidRPr="00AD24FA" w:rsidTr="00555C0D">
              <w:tc>
                <w:tcPr>
                  <w:tcW w:w="165"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i</w:t>
                  </w:r>
                </w:p>
              </w:tc>
              <w:tc>
                <w:tcPr>
                  <w:tcW w:w="9241"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555C0D" w:rsidRPr="00AD24FA">
                    <w:rPr>
                      <w:rFonts w:asciiTheme="minorHAnsi" w:hAnsiTheme="minorHAnsi" w:cstheme="minorHAnsi"/>
                      <w:color w:val="444444"/>
                      <w:szCs w:val="24"/>
                      <w:lang w:eastAsia="pl-PL"/>
                    </w:rPr>
                    <w:t>nieprzekształcenia umowy o pracę na czas określon</w:t>
                  </w:r>
                  <w:r w:rsidRPr="00AD24FA">
                    <w:rPr>
                      <w:rFonts w:asciiTheme="minorHAnsi" w:hAnsiTheme="minorHAnsi" w:cstheme="minorHAnsi"/>
                      <w:color w:val="444444"/>
                      <w:szCs w:val="24"/>
                      <w:lang w:eastAsia="pl-PL"/>
                    </w:rPr>
                    <w:t xml:space="preserve">y </w:t>
                  </w:r>
                  <w:r w:rsidR="00555C0D" w:rsidRPr="00AD24FA">
                    <w:rPr>
                      <w:rFonts w:asciiTheme="minorHAnsi" w:hAnsiTheme="minorHAnsi" w:cstheme="minorHAnsi"/>
                      <w:color w:val="444444"/>
                      <w:szCs w:val="24"/>
                      <w:lang w:eastAsia="pl-PL"/>
                    </w:rPr>
                    <w:t>w umowę o pracę na czas nieokreślony, w sytuacji gdy pracownik mógł mieć uzasadnione oczekiwania, że zostanie mu zaoferowane stałe zatrudnienie;</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1"/>
              <w:gridCol w:w="5626"/>
            </w:tblGrid>
            <w:tr w:rsidR="00555C0D" w:rsidRPr="00AD24FA" w:rsidTr="00555C0D">
              <w:tc>
                <w:tcPr>
                  <w:tcW w:w="169"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j</w:t>
                  </w:r>
                </w:p>
              </w:tc>
              <w:tc>
                <w:tcPr>
                  <w:tcW w:w="9237"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555C0D" w:rsidRPr="00AD24FA">
                    <w:rPr>
                      <w:rFonts w:asciiTheme="minorHAnsi" w:hAnsiTheme="minorHAnsi" w:cstheme="minorHAnsi"/>
                      <w:color w:val="444444"/>
                      <w:szCs w:val="24"/>
                      <w:lang w:eastAsia="pl-PL"/>
                    </w:rPr>
                    <w:t>nieprzedłużenia lub wcześniejszego rozwiązania umowy o pracę na czas określony;</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5"/>
              <w:gridCol w:w="5592"/>
            </w:tblGrid>
            <w:tr w:rsidR="00555C0D" w:rsidRPr="00AD24FA" w:rsidTr="00555C0D">
              <w:tc>
                <w:tcPr>
                  <w:tcW w:w="225"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k</w:t>
                  </w:r>
                </w:p>
              </w:tc>
              <w:tc>
                <w:tcPr>
                  <w:tcW w:w="9181"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 </w:t>
                  </w:r>
                  <w:r w:rsidR="00555C0D" w:rsidRPr="00AD24FA">
                    <w:rPr>
                      <w:rFonts w:asciiTheme="minorHAnsi" w:hAnsiTheme="minorHAnsi" w:cstheme="minorHAnsi"/>
                      <w:color w:val="444444"/>
                      <w:szCs w:val="24"/>
                      <w:lang w:eastAsia="pl-PL"/>
                    </w:rPr>
                    <w:t>szkody, w tym nadszarpnięcia reputacji danej osoby, zwłaszcza w mediach społecznościowych, lub strat finansowych, w tym strat gospodarczych i utraty dochodu;</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8"/>
              <w:gridCol w:w="5629"/>
            </w:tblGrid>
            <w:tr w:rsidR="00555C0D" w:rsidRPr="00AD24FA" w:rsidTr="00555C0D">
              <w:tc>
                <w:tcPr>
                  <w:tcW w:w="165"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l</w:t>
                  </w:r>
                  <w:r w:rsidR="00CB6DCE" w:rsidRPr="00AD24FA">
                    <w:rPr>
                      <w:rFonts w:asciiTheme="minorHAnsi" w:hAnsiTheme="minorHAnsi" w:cstheme="minorHAnsi"/>
                      <w:color w:val="444444"/>
                      <w:szCs w:val="24"/>
                      <w:lang w:eastAsia="pl-PL"/>
                    </w:rPr>
                    <w:t xml:space="preserve"> </w:t>
                  </w:r>
                </w:p>
              </w:tc>
              <w:tc>
                <w:tcPr>
                  <w:tcW w:w="9241"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w:t>
                  </w:r>
                  <w:r w:rsidR="00555C0D" w:rsidRPr="00AD24FA">
                    <w:rPr>
                      <w:rFonts w:asciiTheme="minorHAnsi" w:hAnsiTheme="minorHAnsi" w:cstheme="minorHAnsi"/>
                      <w:color w:val="444444"/>
                      <w:szCs w:val="24"/>
                      <w:lang w:eastAsia="pl-PL"/>
                    </w:rPr>
                    <w:t>umieszczenia na czarnej liście na podstawie nieformalnego lub formalnego porozumienia sektorowego lub branżowego, co może skutkować tym, że dana osoba nie znajdzie w przyszłości zatrudnienia w danym sektorze lub danej branży;</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90"/>
              <w:gridCol w:w="5547"/>
            </w:tblGrid>
            <w:tr w:rsidR="00555C0D" w:rsidRPr="00AD24FA" w:rsidTr="00555C0D">
              <w:tc>
                <w:tcPr>
                  <w:tcW w:w="300"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m</w:t>
                  </w:r>
                </w:p>
              </w:tc>
              <w:tc>
                <w:tcPr>
                  <w:tcW w:w="9106" w:type="dxa"/>
                  <w:shd w:val="clear" w:color="auto" w:fill="FFFFFF"/>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 ) </w:t>
                  </w:r>
                  <w:r w:rsidR="00555C0D" w:rsidRPr="00AD24FA">
                    <w:rPr>
                      <w:rFonts w:asciiTheme="minorHAnsi" w:hAnsiTheme="minorHAnsi" w:cstheme="minorHAnsi"/>
                      <w:color w:val="444444"/>
                      <w:szCs w:val="24"/>
                      <w:lang w:eastAsia="pl-PL"/>
                    </w:rPr>
                    <w:t>wcześniejszego rozwiązania lub wypowiedzenia umowy dotyczącej towarów lub umowy o świadczenie usług;</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36"/>
              <w:gridCol w:w="5401"/>
            </w:tblGrid>
            <w:tr w:rsidR="00555C0D" w:rsidRPr="00AD24FA" w:rsidTr="00555C0D">
              <w:tc>
                <w:tcPr>
                  <w:tcW w:w="540"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n)</w:t>
                  </w:r>
                </w:p>
              </w:tc>
              <w:tc>
                <w:tcPr>
                  <w:tcW w:w="8866"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odebrania licencji lub zezwolenia;</w:t>
                  </w:r>
                </w:p>
              </w:tc>
            </w:tr>
          </w:tbl>
          <w:p w:rsidR="00555C0D" w:rsidRPr="00AD24FA" w:rsidRDefault="00555C0D" w:rsidP="00AD24FA">
            <w:pPr>
              <w:widowControl/>
              <w:autoSpaceDE/>
              <w:autoSpaceDN/>
              <w:adjustRightInd/>
              <w:spacing w:line="240" w:lineRule="auto"/>
              <w:rPr>
                <w:rFonts w:asciiTheme="minorHAnsi" w:hAnsiTheme="minorHAnsi" w:cstheme="minorHAnsi"/>
                <w:vanish/>
                <w:szCs w:val="24"/>
                <w:lang w:eastAsia="pl-PL"/>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24"/>
              <w:gridCol w:w="5513"/>
            </w:tblGrid>
            <w:tr w:rsidR="00555C0D" w:rsidRPr="00AD24FA" w:rsidTr="00555C0D">
              <w:tc>
                <w:tcPr>
                  <w:tcW w:w="355"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o)</w:t>
                  </w:r>
                </w:p>
              </w:tc>
              <w:tc>
                <w:tcPr>
                  <w:tcW w:w="9051" w:type="dxa"/>
                  <w:shd w:val="clear" w:color="auto" w:fill="FFFFFF"/>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skierowania na badania psychiatryczne lub lekarskie.</w:t>
                  </w:r>
                </w:p>
              </w:tc>
            </w:tr>
          </w:tbl>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C14BB8"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BB2147" w:rsidRDefault="00C14BB8" w:rsidP="00AD24FA">
            <w:pPr>
              <w:spacing w:line="240" w:lineRule="auto"/>
              <w:rPr>
                <w:rFonts w:asciiTheme="minorHAnsi" w:hAnsiTheme="minorHAnsi" w:cstheme="minorHAnsi"/>
                <w:b/>
                <w:szCs w:val="24"/>
              </w:rPr>
            </w:pPr>
            <w:r w:rsidRPr="00AD24FA">
              <w:rPr>
                <w:rFonts w:asciiTheme="minorHAnsi" w:hAnsiTheme="minorHAnsi" w:cstheme="minorHAnsi"/>
                <w:b/>
                <w:szCs w:val="24"/>
              </w:rPr>
              <w:t>Art. 1</w:t>
            </w:r>
            <w:r w:rsidR="00BB2147">
              <w:rPr>
                <w:rFonts w:asciiTheme="minorHAnsi" w:hAnsiTheme="minorHAnsi" w:cstheme="minorHAnsi"/>
                <w:b/>
                <w:szCs w:val="24"/>
              </w:rPr>
              <w:t>0</w:t>
            </w:r>
            <w:r w:rsidR="00496190">
              <w:rPr>
                <w:rFonts w:asciiTheme="minorHAnsi" w:hAnsiTheme="minorHAnsi" w:cstheme="minorHAnsi"/>
                <w:b/>
                <w:szCs w:val="24"/>
              </w:rPr>
              <w:t xml:space="preserve">, art. </w:t>
            </w:r>
            <w:r w:rsidRPr="00AD24FA">
              <w:rPr>
                <w:rFonts w:asciiTheme="minorHAnsi" w:hAnsiTheme="minorHAnsi" w:cstheme="minorHAnsi"/>
                <w:b/>
                <w:szCs w:val="24"/>
              </w:rPr>
              <w:t xml:space="preserve"> 1</w:t>
            </w:r>
            <w:r w:rsidR="00BB2147">
              <w:rPr>
                <w:rFonts w:asciiTheme="minorHAnsi" w:hAnsiTheme="minorHAnsi" w:cstheme="minorHAnsi"/>
                <w:b/>
                <w:szCs w:val="24"/>
              </w:rPr>
              <w:t>1</w:t>
            </w:r>
          </w:p>
          <w:p w:rsidR="00BB2147" w:rsidRDefault="00BB2147" w:rsidP="00AD24FA">
            <w:pPr>
              <w:spacing w:line="240" w:lineRule="auto"/>
              <w:rPr>
                <w:rFonts w:asciiTheme="minorHAnsi" w:hAnsiTheme="minorHAnsi" w:cstheme="minorHAnsi"/>
                <w:b/>
                <w:szCs w:val="24"/>
              </w:rPr>
            </w:pPr>
          </w:p>
          <w:p w:rsidR="008F2D63" w:rsidRPr="00AD24FA" w:rsidRDefault="00C0770A" w:rsidP="00AD24FA">
            <w:pPr>
              <w:spacing w:line="240" w:lineRule="auto"/>
              <w:rPr>
                <w:rFonts w:asciiTheme="minorHAnsi" w:hAnsiTheme="minorHAnsi" w:cstheme="minorHAnsi"/>
                <w:b/>
                <w:szCs w:val="24"/>
              </w:rPr>
            </w:pPr>
            <w:r>
              <w:rPr>
                <w:rFonts w:asciiTheme="minorHAnsi" w:hAnsiTheme="minorHAnsi" w:cstheme="minorHAnsi"/>
                <w:b/>
                <w:szCs w:val="24"/>
              </w:rPr>
              <w:t xml:space="preserve">art. </w:t>
            </w:r>
            <w:r w:rsidR="00BB2147">
              <w:rPr>
                <w:rFonts w:asciiTheme="minorHAnsi" w:hAnsiTheme="minorHAnsi" w:cstheme="minorHAnsi"/>
                <w:b/>
                <w:szCs w:val="24"/>
              </w:rPr>
              <w:t>1</w:t>
            </w:r>
            <w:r w:rsidR="00993F80">
              <w:rPr>
                <w:rFonts w:asciiTheme="minorHAnsi" w:hAnsiTheme="minorHAnsi" w:cstheme="minorHAnsi"/>
                <w:b/>
                <w:szCs w:val="24"/>
              </w:rPr>
              <w:t>4</w:t>
            </w:r>
            <w:r w:rsidR="0051704D">
              <w:rPr>
                <w:rFonts w:asciiTheme="minorHAnsi" w:hAnsiTheme="minorHAnsi" w:cstheme="minorHAnsi"/>
                <w:b/>
                <w:szCs w:val="24"/>
              </w:rPr>
              <w:t xml:space="preserve">, </w:t>
            </w:r>
            <w:r w:rsidR="004F3022">
              <w:rPr>
                <w:rFonts w:asciiTheme="minorHAnsi" w:hAnsiTheme="minorHAnsi" w:cstheme="minorHAnsi"/>
                <w:b/>
                <w:szCs w:val="24"/>
              </w:rPr>
              <w:t xml:space="preserve">art. </w:t>
            </w:r>
            <w:r w:rsidR="00BB2147">
              <w:rPr>
                <w:rFonts w:asciiTheme="minorHAnsi" w:hAnsiTheme="minorHAnsi" w:cstheme="minorHAnsi"/>
                <w:b/>
                <w:szCs w:val="24"/>
              </w:rPr>
              <w:t>1</w:t>
            </w:r>
            <w:r w:rsidR="00C04518">
              <w:rPr>
                <w:rFonts w:asciiTheme="minorHAnsi" w:hAnsiTheme="minorHAnsi" w:cstheme="minorHAnsi"/>
                <w:b/>
                <w:szCs w:val="24"/>
              </w:rPr>
              <w:t>8, art. 19</w:t>
            </w:r>
            <w:r w:rsidR="00BB2147">
              <w:rPr>
                <w:rFonts w:asciiTheme="minorHAnsi" w:hAnsiTheme="minorHAnsi" w:cstheme="minorHAnsi"/>
                <w:b/>
                <w:szCs w:val="24"/>
              </w:rPr>
              <w:t xml:space="preserve"> </w:t>
            </w:r>
            <w:r w:rsidR="0051704D">
              <w:rPr>
                <w:rFonts w:asciiTheme="minorHAnsi" w:hAnsiTheme="minorHAnsi" w:cstheme="minorHAnsi"/>
                <w:b/>
                <w:szCs w:val="24"/>
              </w:rPr>
              <w:t xml:space="preserve">oraz </w:t>
            </w:r>
            <w:r w:rsidR="0051704D">
              <w:rPr>
                <w:rFonts w:asciiTheme="minorHAnsi" w:hAnsiTheme="minorHAnsi" w:cstheme="minorHAnsi"/>
                <w:b/>
                <w:szCs w:val="24"/>
              </w:rPr>
              <w:lastRenderedPageBreak/>
              <w:t>art. 2</w:t>
            </w:r>
            <w:r w:rsidR="00BB2147">
              <w:rPr>
                <w:rFonts w:asciiTheme="minorHAnsi" w:hAnsiTheme="minorHAnsi" w:cstheme="minorHAnsi"/>
                <w:b/>
                <w:szCs w:val="24"/>
              </w:rPr>
              <w:t>0</w:t>
            </w:r>
          </w:p>
        </w:tc>
        <w:tc>
          <w:tcPr>
            <w:tcW w:w="3827" w:type="dxa"/>
          </w:tcPr>
          <w:p w:rsidR="00BB2147" w:rsidRPr="008662E5" w:rsidRDefault="00BB2147" w:rsidP="00496190">
            <w:pPr>
              <w:pStyle w:val="ARTartustawynprozporzdzenia"/>
              <w:ind w:firstLine="0"/>
            </w:pPr>
            <w:r w:rsidRPr="00D37BF3">
              <w:rPr>
                <w:rStyle w:val="Ppogrubienie"/>
              </w:rPr>
              <w:lastRenderedPageBreak/>
              <w:t>Art. 1</w:t>
            </w:r>
            <w:r>
              <w:rPr>
                <w:rStyle w:val="Ppogrubienie"/>
              </w:rPr>
              <w:t>0</w:t>
            </w:r>
            <w:r w:rsidRPr="00D37BF3">
              <w:rPr>
                <w:rStyle w:val="Ppogrubienie"/>
              </w:rPr>
              <w:t>.</w:t>
            </w:r>
            <w:r w:rsidRPr="008662E5">
              <w:t xml:space="preserve"> Wobec zgłaszającego nie mogą być podejmowane </w:t>
            </w:r>
            <w:r>
              <w:t xml:space="preserve">działania odwetowe. </w:t>
            </w:r>
          </w:p>
          <w:p w:rsidR="00BB2147" w:rsidRPr="00A57398" w:rsidRDefault="00BB2147" w:rsidP="00496190">
            <w:pPr>
              <w:pStyle w:val="ARTartustawynprozporzdzenia"/>
              <w:ind w:firstLine="0"/>
            </w:pPr>
            <w:r w:rsidRPr="00D37BF3">
              <w:rPr>
                <w:rStyle w:val="Ppogrubienie"/>
              </w:rPr>
              <w:t>Art. 1</w:t>
            </w:r>
            <w:r>
              <w:rPr>
                <w:rStyle w:val="Ppogrubienie"/>
              </w:rPr>
              <w:t>1</w:t>
            </w:r>
            <w:r w:rsidRPr="00D37BF3">
              <w:rPr>
                <w:rStyle w:val="Ppogrubienie"/>
              </w:rPr>
              <w:t>.</w:t>
            </w:r>
            <w:r w:rsidRPr="00A57398">
              <w:t xml:space="preserve"> </w:t>
            </w:r>
            <w:r>
              <w:t xml:space="preserve">1. </w:t>
            </w:r>
            <w:r w:rsidRPr="00A57398">
              <w:t xml:space="preserve">Jeżeli praca jest lub ma być świadczona na podstawie stosunku </w:t>
            </w:r>
            <w:r>
              <w:t>pracy, z</w:t>
            </w:r>
            <w:r w:rsidRPr="00A57398">
              <w:t xml:space="preserve">głaszający nie może być niekorzystnie traktowany z powodu </w:t>
            </w:r>
            <w:r w:rsidRPr="00A57398">
              <w:lastRenderedPageBreak/>
              <w:t>dokonania zgłoszenia</w:t>
            </w:r>
            <w:r>
              <w:t xml:space="preserve"> lub ujawnienia publicznego</w:t>
            </w:r>
            <w:r w:rsidRPr="00A57398">
              <w:t>.</w:t>
            </w:r>
          </w:p>
          <w:p w:rsidR="00BB2147" w:rsidRPr="00A57398" w:rsidRDefault="00BB2147" w:rsidP="00993F80">
            <w:pPr>
              <w:pStyle w:val="ARTartustawynprozporzdzenia"/>
              <w:ind w:firstLine="0"/>
            </w:pPr>
            <w:r>
              <w:t xml:space="preserve">2. </w:t>
            </w:r>
            <w:r w:rsidRPr="00A57398">
              <w:t>Za niekorzystne traktowanie</w:t>
            </w:r>
            <w:r>
              <w:t>, o którym mowa w ust. 1,</w:t>
            </w:r>
            <w:r w:rsidRPr="00A57398">
              <w:t xml:space="preserve"> uważa się w szczególności:</w:t>
            </w:r>
          </w:p>
          <w:p w:rsidR="00BB2147" w:rsidRPr="00A57398" w:rsidRDefault="00BB2147" w:rsidP="00BB2147">
            <w:pPr>
              <w:pStyle w:val="PKTpunkt"/>
            </w:pPr>
            <w:r>
              <w:t>1)</w:t>
            </w:r>
            <w:r>
              <w:tab/>
            </w:r>
            <w:r w:rsidRPr="00A57398">
              <w:t>odmowę nawiązania stosunku pracy</w:t>
            </w:r>
            <w:r>
              <w:t>,</w:t>
            </w:r>
            <w:r w:rsidRPr="00A57398">
              <w:t xml:space="preserve"> </w:t>
            </w:r>
          </w:p>
          <w:p w:rsidR="00BB2147" w:rsidRPr="00A57398" w:rsidRDefault="00BB2147" w:rsidP="00BB2147">
            <w:pPr>
              <w:pStyle w:val="PKTpunkt"/>
            </w:pPr>
            <w:r>
              <w:t>2)</w:t>
            </w:r>
            <w:r>
              <w:tab/>
            </w:r>
            <w:r w:rsidRPr="00A57398">
              <w:t>wypowiedzenie lub rozwiązanie bez wypowiedzenia stosunku pracy</w:t>
            </w:r>
            <w:r>
              <w:t>,</w:t>
            </w:r>
          </w:p>
          <w:p w:rsidR="00BB2147" w:rsidRPr="00A57398" w:rsidRDefault="00BB2147" w:rsidP="00BB2147">
            <w:pPr>
              <w:pStyle w:val="PKTpunkt"/>
            </w:pPr>
            <w:r>
              <w:t>3)</w:t>
            </w:r>
            <w:r>
              <w:tab/>
            </w:r>
            <w:proofErr w:type="spellStart"/>
            <w:r w:rsidRPr="00A57398">
              <w:t>niezawarcie</w:t>
            </w:r>
            <w:proofErr w:type="spellEnd"/>
            <w:r w:rsidRPr="00A57398">
              <w:t xml:space="preserve"> umowy o pracę na czas określony po rozwiązaniu umowy o pracę na okres próbny, </w:t>
            </w:r>
            <w:proofErr w:type="spellStart"/>
            <w:r w:rsidRPr="00A57398">
              <w:t>niezawarcie</w:t>
            </w:r>
            <w:proofErr w:type="spellEnd"/>
            <w:r w:rsidRPr="00A57398">
              <w:t xml:space="preserve"> kolejnej umowy o pracę na czas określony lub </w:t>
            </w:r>
            <w:proofErr w:type="spellStart"/>
            <w:r w:rsidRPr="00A57398">
              <w:t>niezawarcie</w:t>
            </w:r>
            <w:proofErr w:type="spellEnd"/>
            <w:r w:rsidRPr="00A57398">
              <w:t xml:space="preserve"> umowy o pracę na czas nieokreślony, po rozwiązaniu umowy o pracę na czas określony </w:t>
            </w:r>
            <w:r>
              <w:t>–</w:t>
            </w:r>
            <w:r w:rsidRPr="00A57398">
              <w:t xml:space="preserve"> w sytuacji gdy pracownik miał uzasadnione </w:t>
            </w:r>
            <w:r w:rsidRPr="00A57398">
              <w:lastRenderedPageBreak/>
              <w:t>oczekiwanie, że zostanie z nim zawarta taka umowa</w:t>
            </w:r>
            <w:r>
              <w:t>,</w:t>
            </w:r>
          </w:p>
          <w:p w:rsidR="00BB2147" w:rsidRPr="00A57398" w:rsidRDefault="00BB2147" w:rsidP="00BB2147">
            <w:pPr>
              <w:pStyle w:val="PKTpunkt"/>
            </w:pPr>
            <w:r>
              <w:t>4)</w:t>
            </w:r>
            <w:r>
              <w:tab/>
            </w:r>
            <w:r w:rsidRPr="00A57398">
              <w:t>obniżenie wynagrodzenia za pracę</w:t>
            </w:r>
            <w:r>
              <w:t>,</w:t>
            </w:r>
            <w:r w:rsidRPr="00A57398">
              <w:t xml:space="preserve"> </w:t>
            </w:r>
          </w:p>
          <w:p w:rsidR="00BB2147" w:rsidRPr="00A57398" w:rsidRDefault="00BB2147" w:rsidP="00BB2147">
            <w:pPr>
              <w:pStyle w:val="PKTpunkt"/>
            </w:pPr>
            <w:r>
              <w:t>5)</w:t>
            </w:r>
            <w:r>
              <w:tab/>
            </w:r>
            <w:r w:rsidRPr="00A57398">
              <w:t>wstrzymanie awansu albo pominięcie przy awansowaniu</w:t>
            </w:r>
            <w:r>
              <w:t>,</w:t>
            </w:r>
          </w:p>
          <w:p w:rsidR="00BB2147" w:rsidRPr="00A57398" w:rsidRDefault="00BB2147" w:rsidP="00BB2147">
            <w:pPr>
              <w:pStyle w:val="PKTpunkt"/>
            </w:pPr>
            <w:r>
              <w:t>6)</w:t>
            </w:r>
            <w:r>
              <w:tab/>
            </w:r>
            <w:r w:rsidRPr="00A57398">
              <w:t>pominięcie przy przyznawaniu innych niż wynagrodzenie świadczeń związanych z pracą</w:t>
            </w:r>
            <w:r>
              <w:t>,</w:t>
            </w:r>
          </w:p>
          <w:p w:rsidR="00BB2147" w:rsidRPr="00A57398" w:rsidRDefault="00BB2147" w:rsidP="00BB2147">
            <w:pPr>
              <w:pStyle w:val="PKTpunkt"/>
            </w:pPr>
            <w:r>
              <w:t>7)</w:t>
            </w:r>
            <w:r>
              <w:tab/>
            </w:r>
            <w:r w:rsidRPr="00A57398">
              <w:t>przeniesienie pracownika na niższe stanowisko pracy</w:t>
            </w:r>
            <w:r>
              <w:t>,</w:t>
            </w:r>
          </w:p>
          <w:p w:rsidR="00BB2147" w:rsidRPr="00A57398" w:rsidRDefault="00BB2147" w:rsidP="00BB2147">
            <w:pPr>
              <w:pStyle w:val="PKTpunkt"/>
            </w:pPr>
            <w:r>
              <w:t>8)</w:t>
            </w:r>
            <w:r>
              <w:tab/>
            </w:r>
            <w:r w:rsidRPr="00A57398">
              <w:t>zawieszenie w wykonywaniu obowiązków pracowniczych lub służbowych</w:t>
            </w:r>
            <w:r>
              <w:t>,</w:t>
            </w:r>
            <w:r w:rsidRPr="00A57398">
              <w:t xml:space="preserve"> </w:t>
            </w:r>
          </w:p>
          <w:p w:rsidR="00BB2147" w:rsidRPr="00A57398" w:rsidRDefault="00BB2147" w:rsidP="00BB2147">
            <w:pPr>
              <w:pStyle w:val="PKTpunkt"/>
            </w:pPr>
            <w:r>
              <w:t>9)</w:t>
            </w:r>
            <w:r>
              <w:tab/>
            </w:r>
            <w:r w:rsidRPr="00A57398">
              <w:t>przekazanie innemu pracownikowi dotychczasowych obowiązków pracowniczych</w:t>
            </w:r>
            <w:r>
              <w:t>,</w:t>
            </w:r>
          </w:p>
          <w:p w:rsidR="00BB2147" w:rsidRPr="00A57398" w:rsidRDefault="00BB2147" w:rsidP="00BB2147">
            <w:pPr>
              <w:pStyle w:val="PKTpunkt"/>
            </w:pPr>
            <w:r>
              <w:t>10)</w:t>
            </w:r>
            <w:r>
              <w:tab/>
            </w:r>
            <w:r w:rsidRPr="00A57398">
              <w:t>niekorzystną zmianę miejsca wykonywania pracy lub rozkładu czasu pracy</w:t>
            </w:r>
            <w:r>
              <w:t>,</w:t>
            </w:r>
          </w:p>
          <w:p w:rsidR="00BB2147" w:rsidRPr="00A57398" w:rsidRDefault="00BB2147" w:rsidP="00BB2147">
            <w:pPr>
              <w:pStyle w:val="PKTpunkt"/>
            </w:pPr>
            <w:r>
              <w:lastRenderedPageBreak/>
              <w:t>11)</w:t>
            </w:r>
            <w:r>
              <w:tab/>
            </w:r>
            <w:r w:rsidRPr="00A57398">
              <w:t>negatywną ocenę wyników pracy lub negatywną opinię o pracy</w:t>
            </w:r>
            <w:r>
              <w:t>,</w:t>
            </w:r>
          </w:p>
          <w:p w:rsidR="00BB2147" w:rsidRPr="00A57398" w:rsidRDefault="00BB2147" w:rsidP="00BB2147">
            <w:pPr>
              <w:pStyle w:val="PKTpunkt"/>
            </w:pPr>
            <w:r>
              <w:t>12)</w:t>
            </w:r>
            <w:r>
              <w:tab/>
            </w:r>
            <w:r w:rsidRPr="00A57398">
              <w:t>nałożenie lub zastosowanie środka dyscyplinarnego, w tym kary finansowej, lub środka o podobnym charakterze</w:t>
            </w:r>
            <w:r>
              <w:t>,</w:t>
            </w:r>
          </w:p>
          <w:p w:rsidR="00BB2147" w:rsidRPr="00A57398" w:rsidRDefault="00BB2147" w:rsidP="00BB2147">
            <w:pPr>
              <w:pStyle w:val="PKTpunkt"/>
            </w:pPr>
            <w:r>
              <w:t>13)</w:t>
            </w:r>
            <w:r>
              <w:tab/>
            </w:r>
            <w:r w:rsidRPr="00A57398">
              <w:t>wstrzymanie udziału lub pominięcie przy typowaniu do udziału w szkoleniach podnoszących kwalifikacje zawodowe</w:t>
            </w:r>
            <w:r>
              <w:t>,</w:t>
            </w:r>
          </w:p>
          <w:p w:rsidR="00BB2147" w:rsidRPr="00A57398" w:rsidRDefault="00BB2147" w:rsidP="00BB2147">
            <w:pPr>
              <w:pStyle w:val="PKTpunkt"/>
            </w:pPr>
            <w:r>
              <w:t>14)</w:t>
            </w:r>
            <w:r>
              <w:tab/>
            </w:r>
            <w:r w:rsidRPr="00A57398">
              <w:t>nieuzasadnione skierowanie na badanie lekarskie, w tym badania psychiatryczne, o ile przepisy odrębne przewidują możliwość skierowania pracownika na takie badanie;</w:t>
            </w:r>
          </w:p>
          <w:p w:rsidR="00BB2147" w:rsidRPr="00A57398" w:rsidRDefault="00BB2147" w:rsidP="00BB2147">
            <w:pPr>
              <w:pStyle w:val="PKTpunkt"/>
            </w:pPr>
            <w:r>
              <w:t>15)</w:t>
            </w:r>
            <w:r>
              <w:tab/>
            </w:r>
            <w:r w:rsidRPr="00A57398">
              <w:t xml:space="preserve">działanie zmierzające do utrudnienia znalezienia w przyszłości zatrudnienia w </w:t>
            </w:r>
            <w:r w:rsidRPr="00A57398">
              <w:lastRenderedPageBreak/>
              <w:t>danym sektorze lub branży na podstawie nieformalnego lub formalnego porozumienia sektorowego lub branżowego</w:t>
            </w:r>
          </w:p>
          <w:p w:rsidR="00BB2147" w:rsidRPr="005A5F5D" w:rsidRDefault="00BB2147" w:rsidP="00BB2147">
            <w:pPr>
              <w:pStyle w:val="CZWSPPKTczwsplnapunktw"/>
            </w:pPr>
            <w:r w:rsidRPr="005A5F5D">
              <w:t>– chyba że pracodawca udowodni, że kierował się obiektywnymi powodami.</w:t>
            </w:r>
          </w:p>
          <w:p w:rsidR="00BB2147" w:rsidRPr="00A57398" w:rsidRDefault="00BB2147" w:rsidP="00BB2147">
            <w:pPr>
              <w:pStyle w:val="USTustnpkodeksu"/>
            </w:pPr>
            <w:r>
              <w:t>3</w:t>
            </w:r>
            <w:r w:rsidRPr="00A57398">
              <w:t>. Za niekorzystne traktowanie z powodu</w:t>
            </w:r>
            <w:r>
              <w:t xml:space="preserve"> dokonania</w:t>
            </w:r>
            <w:r w:rsidRPr="00A57398">
              <w:t xml:space="preserve"> zgłoszenia </w:t>
            </w:r>
            <w:r>
              <w:t xml:space="preserve">lub ujawnienia publicznego </w:t>
            </w:r>
            <w:r w:rsidRPr="00A57398">
              <w:t>uważa się także groźbę lub próbę zastosowania środka o</w:t>
            </w:r>
            <w:r>
              <w:t>kreślonego</w:t>
            </w:r>
            <w:r w:rsidRPr="00A57398">
              <w:t xml:space="preserve"> w ust. </w:t>
            </w:r>
            <w:r>
              <w:t xml:space="preserve">1, </w:t>
            </w:r>
            <w:r w:rsidRPr="00C02BEE">
              <w:t>chyba że pracodawca udowodni, że kierował się obiektywnymi powodami</w:t>
            </w:r>
            <w:r w:rsidRPr="00A57398">
              <w:t xml:space="preserve">. </w:t>
            </w:r>
          </w:p>
          <w:p w:rsidR="00993F80" w:rsidRPr="00A57398" w:rsidRDefault="00993F80" w:rsidP="00993F80">
            <w:pPr>
              <w:pStyle w:val="ARTartustawynprozporzdzenia"/>
            </w:pPr>
            <w:r w:rsidRPr="00816253">
              <w:rPr>
                <w:rStyle w:val="Ppogrubienie"/>
              </w:rPr>
              <w:t>Art. 1</w:t>
            </w:r>
            <w:r>
              <w:rPr>
                <w:rStyle w:val="Ppogrubienie"/>
              </w:rPr>
              <w:t>4</w:t>
            </w:r>
            <w:r w:rsidRPr="00816253">
              <w:rPr>
                <w:rStyle w:val="Ppogrubienie"/>
              </w:rPr>
              <w:t>.</w:t>
            </w:r>
            <w:r w:rsidRPr="00A57398">
              <w:t xml:space="preserve"> 1. Jeżeli praca jest lub ma być świadczona na podstawie stosunku prawnego innego niż </w:t>
            </w:r>
            <w:r>
              <w:t xml:space="preserve">stosunek pracy </w:t>
            </w:r>
            <w:r w:rsidRPr="00A57398">
              <w:t>zgłaszający nie może być niekorzystnie traktowany</w:t>
            </w:r>
            <w:r>
              <w:t xml:space="preserve"> </w:t>
            </w:r>
            <w:r w:rsidRPr="00A57398">
              <w:t>z powodu dokonania zgłoszenia</w:t>
            </w:r>
            <w:r>
              <w:t xml:space="preserve"> lub ujawnienia publicznego</w:t>
            </w:r>
            <w:r w:rsidRPr="00A57398">
              <w:t xml:space="preserve">. </w:t>
            </w:r>
          </w:p>
          <w:p w:rsidR="00993F80" w:rsidRPr="00A57398" w:rsidRDefault="00993F80" w:rsidP="00993F80">
            <w:pPr>
              <w:pStyle w:val="USTustnpkodeksu"/>
            </w:pPr>
            <w:r w:rsidRPr="00A57398">
              <w:lastRenderedPageBreak/>
              <w:t>2. Za niekorzystne traktowanie</w:t>
            </w:r>
            <w:r>
              <w:t>, o którym mowa w ust. 1,</w:t>
            </w:r>
            <w:r w:rsidRPr="00A57398">
              <w:t xml:space="preserve"> uważa się w szczególności rozwiązanie</w:t>
            </w:r>
            <w:r>
              <w:t>,</w:t>
            </w:r>
            <w:r w:rsidRPr="00A57398">
              <w:t xml:space="preserve"> wypowiedzenie lub odmowę nawiązania stosunku prawnego, na podstawie którego jest lub ma być świadczona praca</w:t>
            </w:r>
            <w:r>
              <w:t xml:space="preserve"> przez zgłaszającego</w:t>
            </w:r>
            <w:r w:rsidRPr="00A57398">
              <w:t xml:space="preserve">, chyba że druga strona </w:t>
            </w:r>
            <w:r>
              <w:t xml:space="preserve">stosunku prawnego </w:t>
            </w:r>
            <w:r w:rsidRPr="00A57398">
              <w:t>udowodni, że kierowała się obiektywnymi powodami.</w:t>
            </w:r>
          </w:p>
          <w:p w:rsidR="00C04518" w:rsidRPr="00A57398" w:rsidRDefault="00C04518" w:rsidP="00C04518">
            <w:pPr>
              <w:pStyle w:val="ARTartustawynprozporzdzenia"/>
            </w:pPr>
            <w:r w:rsidRPr="00CD170F">
              <w:rPr>
                <w:rStyle w:val="Ppogrubienie"/>
              </w:rPr>
              <w:t xml:space="preserve">Art. </w:t>
            </w:r>
            <w:r>
              <w:rPr>
                <w:rStyle w:val="Ppogrubienie"/>
              </w:rPr>
              <w:t>18</w:t>
            </w:r>
            <w:r w:rsidRPr="00CD170F">
              <w:rPr>
                <w:rStyle w:val="Ppogrubienie"/>
              </w:rPr>
              <w:t>.</w:t>
            </w:r>
            <w:r w:rsidRPr="00A57398">
              <w:t xml:space="preserve"> </w:t>
            </w:r>
            <w:r>
              <w:t>Dokonanie z</w:t>
            </w:r>
            <w:r w:rsidRPr="00A57398">
              <w:t>głoszeni</w:t>
            </w:r>
            <w:r>
              <w:t>a</w:t>
            </w:r>
            <w:r w:rsidRPr="00A57398">
              <w:t xml:space="preserve"> </w:t>
            </w:r>
            <w:r>
              <w:t xml:space="preserve">lub ujawnienia publicznego </w:t>
            </w:r>
            <w:r w:rsidRPr="00A57398">
              <w:t>nie może stanowić podstawy odpowiedzialnośc</w:t>
            </w:r>
            <w:r>
              <w:t>i, w tym odpowiedzialności za szkodę,</w:t>
            </w:r>
            <w:r w:rsidRPr="00A57398">
              <w:t xml:space="preserve"> z tytułu naruszenia praw innych osób lub obowiązków określonych w przepisach prawa, w szczególności w przedmiocie zniesławienia, naruszenia dóbr osobistych, praw </w:t>
            </w:r>
            <w:r w:rsidRPr="00A57398">
              <w:lastRenderedPageBreak/>
              <w:t xml:space="preserve">autorskich, przepisów o ochronie danych </w:t>
            </w:r>
            <w:r>
              <w:t xml:space="preserve">osobowych </w:t>
            </w:r>
            <w:r w:rsidRPr="00A57398">
              <w:t xml:space="preserve">oraz obowiązku zachowania tajemnicy, w tym tajemnicy przedsiębiorstwa, pod warunkiem że zgłaszający miał uzasadnione podstawy, by sądzić, że zgłoszenie </w:t>
            </w:r>
            <w:r>
              <w:t xml:space="preserve">lub ujawnienie publiczne </w:t>
            </w:r>
            <w:r w:rsidRPr="00A57398">
              <w:t>jest niezbędne do ujawnienia naruszenia</w:t>
            </w:r>
            <w:r>
              <w:t xml:space="preserve"> prawa</w:t>
            </w:r>
            <w:r w:rsidRPr="00A57398">
              <w:t xml:space="preserve"> zgodnie z ustawą.</w:t>
            </w:r>
          </w:p>
          <w:p w:rsidR="00C04518" w:rsidRPr="00A57398" w:rsidRDefault="00C04518" w:rsidP="00301BA6">
            <w:pPr>
              <w:pStyle w:val="ARTartustawynprozporzdzenia"/>
              <w:ind w:firstLine="0"/>
            </w:pPr>
            <w:r w:rsidRPr="00391239">
              <w:rPr>
                <w:rStyle w:val="Ppogrubienie"/>
              </w:rPr>
              <w:t xml:space="preserve">Art. </w:t>
            </w:r>
            <w:r>
              <w:rPr>
                <w:rStyle w:val="Ppogrubienie"/>
              </w:rPr>
              <w:t>19</w:t>
            </w:r>
            <w:r w:rsidRPr="00391239">
              <w:rPr>
                <w:rStyle w:val="Ppogrubienie"/>
              </w:rPr>
              <w:t>.</w:t>
            </w:r>
            <w:r w:rsidRPr="00A57398">
              <w:t xml:space="preserve"> </w:t>
            </w:r>
            <w:r>
              <w:t>W</w:t>
            </w:r>
            <w:r w:rsidRPr="00A57398">
              <w:t xml:space="preserve">ypowiedzenie lub rozwiązanie bez wypowiedzenia </w:t>
            </w:r>
            <w:r>
              <w:t>umowy w obrocie gospodarczym, której stroną jest zgłaszający, w szczególności dotyczącej sprzedaży lub dostawy</w:t>
            </w:r>
            <w:r w:rsidRPr="00A57398">
              <w:t xml:space="preserve"> towarów lub </w:t>
            </w:r>
            <w:r>
              <w:t xml:space="preserve">świadczenia </w:t>
            </w:r>
            <w:r w:rsidRPr="00A57398">
              <w:t>usług</w:t>
            </w:r>
            <w:r>
              <w:t>,</w:t>
            </w:r>
            <w:r w:rsidRPr="00A57398">
              <w:t xml:space="preserve"> z powodu </w:t>
            </w:r>
            <w:r>
              <w:t xml:space="preserve">dokonania </w:t>
            </w:r>
            <w:r w:rsidRPr="00A57398">
              <w:t>zgłoszenia</w:t>
            </w:r>
            <w:r>
              <w:t xml:space="preserve"> lub ujawnienia publicznego </w:t>
            </w:r>
            <w:r w:rsidRPr="00A57398">
              <w:t>jest bezskuteczn</w:t>
            </w:r>
            <w:r>
              <w:t>e</w:t>
            </w:r>
            <w:r w:rsidRPr="00A57398">
              <w:t>.</w:t>
            </w:r>
          </w:p>
          <w:p w:rsidR="00C04518" w:rsidRPr="00A57398" w:rsidRDefault="00C04518" w:rsidP="00301BA6">
            <w:pPr>
              <w:pStyle w:val="ARTartustawynprozporzdzenia"/>
              <w:ind w:firstLine="0"/>
            </w:pPr>
            <w:r w:rsidRPr="00391239">
              <w:rPr>
                <w:rStyle w:val="Ppogrubienie"/>
              </w:rPr>
              <w:t>Art. 2</w:t>
            </w:r>
            <w:r>
              <w:rPr>
                <w:rStyle w:val="Ppogrubienie"/>
              </w:rPr>
              <w:t>0</w:t>
            </w:r>
            <w:r w:rsidRPr="00391239">
              <w:rPr>
                <w:rStyle w:val="Ppogrubienie"/>
              </w:rPr>
              <w:t>.</w:t>
            </w:r>
            <w:r w:rsidRPr="00A57398">
              <w:t xml:space="preserve"> </w:t>
            </w:r>
            <w:r>
              <w:t>Dokonanie z</w:t>
            </w:r>
            <w:r w:rsidRPr="00A57398">
              <w:t>głoszeni</w:t>
            </w:r>
            <w:r>
              <w:t>a</w:t>
            </w:r>
            <w:r w:rsidRPr="00A57398">
              <w:t xml:space="preserve"> </w:t>
            </w:r>
            <w:r>
              <w:t xml:space="preserve">lub ujawnienia publicznego </w:t>
            </w:r>
            <w:r w:rsidRPr="00A57398">
              <w:t xml:space="preserve">nie może stanowić podstawy nałożenia </w:t>
            </w:r>
            <w:r w:rsidRPr="00A57398">
              <w:lastRenderedPageBreak/>
              <w:t>obowiązku bądź odmowy przyznania, ograniczenia lub odebrania uprawnienia, w szczególności koncesji</w:t>
            </w:r>
            <w:r>
              <w:t>,</w:t>
            </w:r>
            <w:r w:rsidRPr="00A57398">
              <w:t xml:space="preserve"> zezwolenia lub ulgi.</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20</w:t>
            </w:r>
          </w:p>
        </w:tc>
        <w:tc>
          <w:tcPr>
            <w:tcW w:w="5953" w:type="dxa"/>
          </w:tcPr>
          <w:p w:rsidR="00555C0D" w:rsidRPr="00AD24FA" w:rsidRDefault="00555C0D"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Środki wsparcia</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   Państwa członkowskie zapewniają, by osoby, o których mowa w art. 4, miały w stosownych przypadkach dostęp do środków wsparcia, do których należą w szczególności:</w:t>
            </w:r>
          </w:p>
          <w:tbl>
            <w:tblPr>
              <w:tblW w:w="5000" w:type="pct"/>
              <w:tblLayout w:type="fixed"/>
              <w:tblCellMar>
                <w:left w:w="0" w:type="dxa"/>
                <w:right w:w="0" w:type="dxa"/>
              </w:tblCellMar>
              <w:tblLook w:val="04A0" w:firstRow="1" w:lastRow="0" w:firstColumn="1" w:lastColumn="0" w:noHBand="0" w:noVBand="1"/>
            </w:tblPr>
            <w:tblGrid>
              <w:gridCol w:w="122"/>
              <w:gridCol w:w="5615"/>
            </w:tblGrid>
            <w:tr w:rsidR="00555C0D" w:rsidRPr="00AD24FA" w:rsidTr="00555C0D">
              <w:tc>
                <w:tcPr>
                  <w:tcW w:w="187"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219"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555C0D" w:rsidRPr="00AD24FA">
                    <w:rPr>
                      <w:rFonts w:asciiTheme="minorHAnsi" w:hAnsiTheme="minorHAnsi" w:cstheme="minorHAnsi"/>
                      <w:szCs w:val="24"/>
                      <w:lang w:eastAsia="pl-PL"/>
                    </w:rPr>
                    <w:t>bezpłatny i otwarty dla wszystkich dostęp do kompleksowych i obiektywnych informacji oraz porad na temat dostępnych procedur i środków ochrony prawnej mających na celu ochronę przed działaniami odwetowymi oraz na temat praw przysługujących osobie, której dotyczy zgłoszenie;</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555C0D" w:rsidRPr="00AD24FA" w:rsidTr="00555C0D">
              <w:tc>
                <w:tcPr>
                  <w:tcW w:w="200"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555C0D" w:rsidRPr="00AD24FA">
                    <w:rPr>
                      <w:rFonts w:asciiTheme="minorHAnsi" w:hAnsiTheme="minorHAnsi" w:cstheme="minorHAnsi"/>
                      <w:szCs w:val="24"/>
                      <w:lang w:eastAsia="pl-PL"/>
                    </w:rPr>
                    <w:t>skuteczna pomoc ze strony właściwych organów w kontaktach z wszelkimi odpowiednimi organami zaangażowanymi w ochronę przed działaniami odwetowymi, w tym, jeżeli jest to przewidziane w prawie krajowym, do uzyskania zaświadczenia, że kwalifikują się one do objęcia ochroną na mocy niniejszej dyrektywy; oraz</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2"/>
              <w:gridCol w:w="5615"/>
            </w:tblGrid>
            <w:tr w:rsidR="00555C0D" w:rsidRPr="00AD24FA" w:rsidTr="00555C0D">
              <w:tc>
                <w:tcPr>
                  <w:tcW w:w="187"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c</w:t>
                  </w:r>
                </w:p>
              </w:tc>
              <w:tc>
                <w:tcPr>
                  <w:tcW w:w="9219"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555C0D" w:rsidRPr="00AD24FA">
                    <w:rPr>
                      <w:rFonts w:asciiTheme="minorHAnsi" w:hAnsiTheme="minorHAnsi" w:cstheme="minorHAnsi"/>
                      <w:szCs w:val="24"/>
                      <w:lang w:eastAsia="pl-PL"/>
                    </w:rPr>
                    <w:t>pomoc prawna w postępowaniach karnych i transgranicznych postępowaniach cywilnych zgodnie z dyrektywą (UE) 2016/1919 i dyrektywą Parlamentu Europejskiego i Rady 2008/52/WE </w:t>
                  </w:r>
                  <w:hyperlink r:id="rId8" w:anchor="ntr48-L_2019305PL.01001701-E0048" w:history="1">
                    <w:r w:rsidR="00555C0D" w:rsidRPr="00AD24FA">
                      <w:rPr>
                        <w:rFonts w:asciiTheme="minorHAnsi" w:hAnsiTheme="minorHAnsi" w:cstheme="minorHAnsi"/>
                        <w:color w:val="3366CC"/>
                        <w:szCs w:val="24"/>
                        <w:u w:val="single"/>
                        <w:lang w:eastAsia="pl-PL"/>
                      </w:rPr>
                      <w:t>(</w:t>
                    </w:r>
                    <w:r w:rsidR="00555C0D" w:rsidRPr="00AD24FA">
                      <w:rPr>
                        <w:rFonts w:asciiTheme="minorHAnsi" w:hAnsiTheme="minorHAnsi" w:cstheme="minorHAnsi"/>
                        <w:color w:val="3366CC"/>
                        <w:szCs w:val="24"/>
                        <w:vertAlign w:val="superscript"/>
                        <w:lang w:eastAsia="pl-PL"/>
                      </w:rPr>
                      <w:t>48</w:t>
                    </w:r>
                    <w:r w:rsidR="00555C0D" w:rsidRPr="00AD24FA">
                      <w:rPr>
                        <w:rFonts w:asciiTheme="minorHAnsi" w:hAnsiTheme="minorHAnsi" w:cstheme="minorHAnsi"/>
                        <w:color w:val="3366CC"/>
                        <w:szCs w:val="24"/>
                        <w:u w:val="single"/>
                        <w:lang w:eastAsia="pl-PL"/>
                      </w:rPr>
                      <w:t>)</w:t>
                    </w:r>
                  </w:hyperlink>
                  <w:r w:rsidR="00555C0D" w:rsidRPr="00AD24FA">
                    <w:rPr>
                      <w:rFonts w:asciiTheme="minorHAnsi" w:hAnsiTheme="minorHAnsi" w:cstheme="minorHAnsi"/>
                      <w:szCs w:val="24"/>
                      <w:lang w:eastAsia="pl-PL"/>
                    </w:rPr>
                    <w:t xml:space="preserve"> oraz, zgodnie z prawem krajowym, pomoc prawna w dalszych </w:t>
                  </w:r>
                  <w:r w:rsidR="00555C0D" w:rsidRPr="00AD24FA">
                    <w:rPr>
                      <w:rFonts w:asciiTheme="minorHAnsi" w:hAnsiTheme="minorHAnsi" w:cstheme="minorHAnsi"/>
                      <w:szCs w:val="24"/>
                      <w:lang w:eastAsia="pl-PL"/>
                    </w:rPr>
                    <w:lastRenderedPageBreak/>
                    <w:t>postępowaniach, a także doradztwo prawne lub inna pomoc prawna.</w:t>
                  </w:r>
                </w:p>
              </w:tc>
            </w:tr>
          </w:tbl>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2.   Państwa członkowskie mogą wprowadzić przepisy przewidujące dla osób dokonujących zgłoszenia środki pomocy finansowej i wsparcia, w tym wsparcie psychologiczne, udzielane w toku postępowania sądowego.</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3.   Środki wsparcia, o których mowa w niniejszym artykule, mogą być udzielane, w stosownych przypadkach, przez centrum informacyjne lub jeden, wyraźnie określony, niezależny organ administracyjny.</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t>Art. 1</w:t>
            </w:r>
            <w:r w:rsidR="0004538B">
              <w:rPr>
                <w:rFonts w:asciiTheme="minorHAnsi" w:hAnsiTheme="minorHAnsi" w:cstheme="minorHAnsi"/>
                <w:b/>
                <w:szCs w:val="24"/>
              </w:rPr>
              <w:t>1</w:t>
            </w:r>
            <w:r w:rsidRPr="00AD24FA">
              <w:rPr>
                <w:rFonts w:asciiTheme="minorHAnsi" w:hAnsiTheme="minorHAnsi" w:cstheme="minorHAnsi"/>
                <w:b/>
                <w:szCs w:val="24"/>
              </w:rPr>
              <w:t xml:space="preserve"> i art. </w:t>
            </w:r>
            <w:r w:rsidR="00BB2147">
              <w:rPr>
                <w:rFonts w:asciiTheme="minorHAnsi" w:hAnsiTheme="minorHAnsi" w:cstheme="minorHAnsi"/>
                <w:b/>
                <w:szCs w:val="24"/>
              </w:rPr>
              <w:t>15</w:t>
            </w:r>
          </w:p>
        </w:tc>
        <w:tc>
          <w:tcPr>
            <w:tcW w:w="3827" w:type="dxa"/>
          </w:tcPr>
          <w:p w:rsidR="00BB2147" w:rsidRPr="00A57398" w:rsidRDefault="00BB2147" w:rsidP="00496190">
            <w:pPr>
              <w:pStyle w:val="ARTartustawynprozporzdzenia"/>
              <w:ind w:firstLine="0"/>
            </w:pPr>
            <w:r w:rsidRPr="00A57398">
              <w:t>.</w:t>
            </w:r>
          </w:p>
          <w:p w:rsidR="0004538B" w:rsidRPr="00A57398" w:rsidRDefault="0004538B" w:rsidP="0004538B">
            <w:pPr>
              <w:pStyle w:val="ARTartustawynprozporzdzenia"/>
              <w:ind w:firstLine="0"/>
            </w:pPr>
            <w:r w:rsidRPr="00D37BF3">
              <w:rPr>
                <w:rStyle w:val="Ppogrubienie"/>
              </w:rPr>
              <w:t>Art. 1</w:t>
            </w:r>
            <w:r>
              <w:rPr>
                <w:rStyle w:val="Ppogrubienie"/>
              </w:rPr>
              <w:t>1</w:t>
            </w:r>
            <w:r w:rsidRPr="00D37BF3">
              <w:rPr>
                <w:rStyle w:val="Ppogrubienie"/>
              </w:rPr>
              <w:t>.</w:t>
            </w:r>
            <w:r w:rsidRPr="00A57398">
              <w:t xml:space="preserve"> </w:t>
            </w:r>
            <w:r>
              <w:t xml:space="preserve">1. </w:t>
            </w:r>
            <w:r w:rsidRPr="00A57398">
              <w:t xml:space="preserve">Jeżeli praca jest lub ma być świadczona na podstawie stosunku </w:t>
            </w:r>
            <w:r>
              <w:t>pracy, z</w:t>
            </w:r>
            <w:r w:rsidRPr="00A57398">
              <w:t>głaszający nie może być niekorzystnie traktowany z powodu dokonania zgłoszenia</w:t>
            </w:r>
            <w:r>
              <w:t xml:space="preserve"> lub ujawnienia publicznego</w:t>
            </w:r>
            <w:r w:rsidRPr="00A57398">
              <w:t>.</w:t>
            </w:r>
          </w:p>
          <w:p w:rsidR="0004538B" w:rsidRPr="00A57398" w:rsidRDefault="0004538B" w:rsidP="0004538B">
            <w:pPr>
              <w:pStyle w:val="ARTartustawynprozporzdzenia"/>
            </w:pPr>
            <w:r w:rsidRPr="00CD170F">
              <w:rPr>
                <w:rStyle w:val="Ppogrubienie"/>
              </w:rPr>
              <w:t xml:space="preserve">Art. </w:t>
            </w:r>
            <w:r>
              <w:rPr>
                <w:rStyle w:val="Ppogrubienie"/>
              </w:rPr>
              <w:t>15</w:t>
            </w:r>
            <w:r w:rsidRPr="00CD170F">
              <w:rPr>
                <w:rStyle w:val="Ppogrubienie"/>
              </w:rPr>
              <w:t>.</w:t>
            </w:r>
            <w:r w:rsidRPr="00A57398">
              <w:t xml:space="preserve"> 1. Jednostronna czynność prawna obejmująca rozwiązanie stosunku prawnego, o którym mowa w art. </w:t>
            </w:r>
            <w:r>
              <w:t>14</w:t>
            </w:r>
            <w:r w:rsidRPr="00A57398">
              <w:t xml:space="preserve">, z powodu </w:t>
            </w:r>
            <w:r>
              <w:t xml:space="preserve">dokonania </w:t>
            </w:r>
            <w:r w:rsidRPr="00A57398">
              <w:t>zgłoszenia</w:t>
            </w:r>
            <w:r>
              <w:t xml:space="preserve"> lub ujawnienia publicznego</w:t>
            </w:r>
            <w:r w:rsidRPr="00A57398">
              <w:t>, jest bezskuteczna.</w:t>
            </w:r>
          </w:p>
          <w:p w:rsidR="0004538B" w:rsidRPr="00A57398" w:rsidRDefault="0004538B" w:rsidP="0004538B">
            <w:pPr>
              <w:pStyle w:val="USTustnpkodeksu"/>
            </w:pPr>
            <w:r w:rsidRPr="00A57398">
              <w:t xml:space="preserve">2. Zgłaszający, wobec którego druga strona </w:t>
            </w:r>
            <w:r>
              <w:t xml:space="preserve">stosunku prawnego </w:t>
            </w:r>
            <w:r w:rsidRPr="00A57398">
              <w:t xml:space="preserve">w inny sposób niż wypowiedzenie lub </w:t>
            </w:r>
            <w:r w:rsidRPr="00A57398">
              <w:lastRenderedPageBreak/>
              <w:t xml:space="preserve">rozwiązanie bez wypowiedzenia stosunku prawnego dopuściła się niekorzystnego traktowania z powodu </w:t>
            </w:r>
            <w:r>
              <w:t xml:space="preserve">dokonania </w:t>
            </w:r>
            <w:r w:rsidRPr="00A57398">
              <w:t>zgłoszenia</w:t>
            </w:r>
            <w:r>
              <w:t xml:space="preserve"> lub ujawnienia publicznego</w:t>
            </w:r>
            <w:r w:rsidRPr="00A57398">
              <w:t>, ma prawo do odszkodowania w wysokości nie niższej niż minimalne wynagrodzenie za pracę, ustalane na podstawie odrębnych przepisów.</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t>Art. 21</w:t>
            </w:r>
          </w:p>
        </w:tc>
        <w:tc>
          <w:tcPr>
            <w:tcW w:w="5953" w:type="dxa"/>
          </w:tcPr>
          <w:p w:rsidR="00555C0D" w:rsidRPr="00AD24FA" w:rsidRDefault="00555C0D"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Środki ochrony przed działaniami odwetowymi</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1.   Państwa członkowskie podejmują niezbędne środki mające na celu zapewnienie, aby osoby, o których mowa w art. 4, były chronione przed działaniami odwetowymi. Takie środki obejmują w szczególności środki określone w ust. 2–8 niniejszego artykułu.</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2.   Bez uszczerbku dla art. 3 ust. 2 i 3, uważa się, że osoby dokonujące zgłoszenia informacji na temat naruszeń lub dokonujące ujawnienia publicznego zgodnie z niniejszą dyrektywą nie naruszają żadnych ograniczeń w zakresie ujawniania informacji i nie ponoszą żadnej odpowiedzialności w związku z takim zgłoszeniem lub ujawnieniem publicznym, pod warunkiem że miały uzasadnione podstawy, by sądzić, że zgłoszenie lub ujawnienie publiczne takich informacji jest niezbędne do ujawnienia naruszenia zgodnie z niniejszą dyrektywą.</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lastRenderedPageBreak/>
              <w:t>3.   Osoby dokonujące zgłoszenia nie ponoszą odpowiedzialności w związku z uzyskaniem informacji będących przedmiotem zgłoszenia lub ujawnienia publicznego lub dostępem do takich informacji, pod warunkiem że takie uzyskanie lub dostęp nie stanowią odrębnego czynu zabronionego. W przypadku gdy takie uzyskanie lub dostęp stanowią odrębny czyn zabroniony, kwestia odpowiedzialności karnej pozostaje uregulowana właściwym prawem krajowym.</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4.   Ewentualna odpowiedzialność osób dokonujących zgłoszenia wynikająca z działań lub zaniechań, które nie są związane ze zgłoszeniem lub ujawnieniem publicznym lub które nie są niezbędne do ujawnienia naruszenia zgodnie z niniejszą dyrektywą, pozostaje uregulowana właściwym prawem Unii lub prawem krajowym.</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5.   W postępowaniach przed sądem lub innym organem dotyczących szkody poniesionej przez osobę dokonującą zgłoszenia, jeżeli osoba ta twierdzi, iż w wyniku zgłoszenia lub dokonania ujawnienia publicznego poniosła szkodę, przyjmuje się, że szkoda została wyrządzona w ramach działań odwetowych za zgłoszenie lub ujawnienie publiczne. W takich przypadkach na osobie, która podjęła działania powodujące szkodę, spoczywa ciężar udowodnienia, że działania te przeprowadziła z należycie uzasadnionych powodów.</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 xml:space="preserve">6.   Osobom, o których mowa w art. 4, przysługuje – w stosownych przypadkach – dostęp do środków zaradczych w odpowiedzi na działania odwetowe, w tym do tymczasowych środków ochrony prawnej w trakcie </w:t>
            </w:r>
            <w:r w:rsidRPr="00AD24FA">
              <w:rPr>
                <w:rFonts w:asciiTheme="minorHAnsi" w:hAnsiTheme="minorHAnsi" w:cstheme="minorHAnsi"/>
                <w:color w:val="444444"/>
              </w:rPr>
              <w:lastRenderedPageBreak/>
              <w:t>toczącego się postępowania sądowego, zgodnie z prawem krajowym.</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7.   W postępowaniach prawnych, na przykład dotyczących zniesławienia, naruszenia praw autorskich, naruszenia tajemnicy, naruszenia przepisów o ochronie danych, naruszenia tajemnicy przedsiębiorstwa, lub w przypadku roszczeń odszkodowawczych na podstawie prawa prywatnego, publicznego lub zbiorowego prawa pracy, osoby, o których mowa w art. 4, nie ponoszą żadnej odpowiedzialności w wyniku dokonania zgłoszenia lub ujawnienia publicznego zgodnie z niniejszą dyrektywą. Osoby te mają prawo wystąpić o umorzenie postępowania, powołując się na to zgłoszenie lub ujawnienie publiczne, pod warunkiem że miały uzasadnione podstawy, by sądzić, że zgłoszenie lub ujawnienie publiczne jest niezbędne do ujawnienia naruszenia zgodnie z niniejszą dyrektywą.</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W przypadku gdy dana osoba dokonuje zgłoszenia lub ujawnia publicznie informacje na temat naruszeń objętych zakresem stosowania niniejszej dyrektywy, a informacje te zawierają tajemnice przedsiębiorstwa i osoba ta spełnia warunki niniejszej dyrektywy, takie zgłoszenie lub ujawnienie publiczne uznaje się za zgodne z prawem z zastrzeżeniem spełnienia warunków art. 3 ust. 2 dyrektywy (UE) 2016/943.</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8.   Państwa członkowskie przyjmują niezbędne środki, aby zapewnić środki ochrony prawnej i pełne odszkodowanie za szkodę poniesioną przez osoby, o których mowa w art. 4, zgodnie z prawem krajowym.</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C14BB8"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6B695B" w:rsidRDefault="00C14BB8"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Art. </w:t>
            </w:r>
            <w:r w:rsidR="00AD24FA" w:rsidRPr="00AD24FA">
              <w:rPr>
                <w:rFonts w:asciiTheme="minorHAnsi" w:hAnsiTheme="minorHAnsi" w:cstheme="minorHAnsi"/>
                <w:b/>
                <w:szCs w:val="24"/>
              </w:rPr>
              <w:t>1</w:t>
            </w:r>
            <w:r w:rsidR="006B695B">
              <w:rPr>
                <w:rFonts w:asciiTheme="minorHAnsi" w:hAnsiTheme="minorHAnsi" w:cstheme="minorHAnsi"/>
                <w:b/>
                <w:szCs w:val="24"/>
              </w:rPr>
              <w:t>3</w:t>
            </w:r>
            <w:r w:rsidR="00AD24FA" w:rsidRPr="00AD24FA">
              <w:rPr>
                <w:rFonts w:asciiTheme="minorHAnsi" w:hAnsiTheme="minorHAnsi" w:cstheme="minorHAnsi"/>
                <w:b/>
                <w:szCs w:val="24"/>
              </w:rPr>
              <w:t xml:space="preserve">, art. </w:t>
            </w:r>
            <w:r w:rsidR="006B695B">
              <w:rPr>
                <w:rFonts w:asciiTheme="minorHAnsi" w:hAnsiTheme="minorHAnsi" w:cstheme="minorHAnsi"/>
                <w:b/>
                <w:szCs w:val="24"/>
              </w:rPr>
              <w:t>17</w:t>
            </w:r>
            <w:r w:rsidR="004E6533">
              <w:rPr>
                <w:rFonts w:asciiTheme="minorHAnsi" w:hAnsiTheme="minorHAnsi" w:cstheme="minorHAnsi"/>
                <w:b/>
                <w:szCs w:val="24"/>
              </w:rPr>
              <w:t xml:space="preserve">, art. </w:t>
            </w:r>
            <w:r w:rsidR="006B695B">
              <w:rPr>
                <w:rFonts w:asciiTheme="minorHAnsi" w:hAnsiTheme="minorHAnsi" w:cstheme="minorHAnsi"/>
                <w:b/>
                <w:szCs w:val="24"/>
              </w:rPr>
              <w:t>18</w:t>
            </w:r>
          </w:p>
          <w:p w:rsidR="006B695B" w:rsidRDefault="006B695B" w:rsidP="00AD24FA">
            <w:pPr>
              <w:spacing w:line="240" w:lineRule="auto"/>
              <w:rPr>
                <w:rFonts w:asciiTheme="minorHAnsi" w:hAnsiTheme="minorHAnsi" w:cstheme="minorHAnsi"/>
                <w:b/>
                <w:szCs w:val="24"/>
              </w:rPr>
            </w:pPr>
          </w:p>
          <w:p w:rsidR="008F2D63" w:rsidRPr="00AD24FA"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 </w:t>
            </w:r>
          </w:p>
        </w:tc>
        <w:tc>
          <w:tcPr>
            <w:tcW w:w="3827" w:type="dxa"/>
          </w:tcPr>
          <w:p w:rsidR="006B695B" w:rsidRPr="00A57398" w:rsidRDefault="006B695B" w:rsidP="006B695B">
            <w:pPr>
              <w:pStyle w:val="ARTartustawynprozporzdzenia"/>
              <w:ind w:firstLine="0"/>
            </w:pPr>
            <w:r w:rsidRPr="00816253">
              <w:rPr>
                <w:rStyle w:val="Ppogrubienie"/>
              </w:rPr>
              <w:t>Art. 1</w:t>
            </w:r>
            <w:r>
              <w:rPr>
                <w:rStyle w:val="Ppogrubienie"/>
              </w:rPr>
              <w:t>3</w:t>
            </w:r>
            <w:r w:rsidRPr="00816253">
              <w:rPr>
                <w:rStyle w:val="Ppogrubienie"/>
              </w:rPr>
              <w:t>.</w:t>
            </w:r>
            <w:r>
              <w:t xml:space="preserve"> Do </w:t>
            </w:r>
            <w:r w:rsidRPr="00A57398">
              <w:t>roszczeń zgłaszającego w sprawach dotyczących niekorzystne</w:t>
            </w:r>
            <w:r>
              <w:t>go traktowania, o którym mowa w art. 11 ust. 2 i 3</w:t>
            </w:r>
            <w:r w:rsidRPr="00A57398">
              <w:t>, stosuje się odpowiednio art. 18</w:t>
            </w:r>
            <w:r w:rsidRPr="008C7B76">
              <w:rPr>
                <w:rStyle w:val="IGindeksgrny"/>
              </w:rPr>
              <w:t>3</w:t>
            </w:r>
            <w:r w:rsidRPr="008662E5">
              <w:rPr>
                <w:rStyle w:val="IGindeksgrny"/>
              </w:rPr>
              <w:t>d</w:t>
            </w:r>
            <w:r w:rsidRPr="00A57398">
              <w:t xml:space="preserve"> ustawy z dnia 26 czerwca 1974 r. </w:t>
            </w:r>
            <w:r>
              <w:t xml:space="preserve">– </w:t>
            </w:r>
            <w:r w:rsidRPr="00A57398">
              <w:t xml:space="preserve">Kodeks pracy. </w:t>
            </w:r>
          </w:p>
          <w:p w:rsidR="008F2D63" w:rsidRPr="00AD24FA" w:rsidRDefault="008F2D63" w:rsidP="00AD24FA">
            <w:pPr>
              <w:spacing w:line="240" w:lineRule="auto"/>
              <w:rPr>
                <w:rFonts w:asciiTheme="minorHAnsi" w:hAnsiTheme="minorHAnsi" w:cstheme="minorHAnsi"/>
                <w:szCs w:val="24"/>
              </w:rPr>
            </w:pPr>
          </w:p>
          <w:p w:rsidR="006B695B" w:rsidRPr="00A57398" w:rsidRDefault="006B695B" w:rsidP="006B695B">
            <w:pPr>
              <w:pStyle w:val="ARTartustawynprozporzdzenia"/>
              <w:ind w:firstLine="0"/>
            </w:pPr>
            <w:r w:rsidRPr="00CD170F">
              <w:rPr>
                <w:rStyle w:val="Ppogrubienie"/>
              </w:rPr>
              <w:t xml:space="preserve">Art. </w:t>
            </w:r>
            <w:r>
              <w:rPr>
                <w:rStyle w:val="Ppogrubienie"/>
              </w:rPr>
              <w:t>17</w:t>
            </w:r>
            <w:r w:rsidRPr="00CD170F">
              <w:rPr>
                <w:rStyle w:val="Ppogrubienie"/>
              </w:rPr>
              <w:t>.</w:t>
            </w:r>
            <w:r w:rsidRPr="00A57398">
              <w:t xml:space="preserve"> </w:t>
            </w:r>
            <w:r>
              <w:t>Dokonanie z</w:t>
            </w:r>
            <w:r w:rsidRPr="00A57398">
              <w:t>głoszeni</w:t>
            </w:r>
            <w:r>
              <w:t>a</w:t>
            </w:r>
            <w:r w:rsidRPr="00A57398">
              <w:t xml:space="preserve"> </w:t>
            </w:r>
            <w:r>
              <w:t xml:space="preserve">lub ujawnienia publicznego </w:t>
            </w:r>
            <w:r w:rsidRPr="00A57398">
              <w:t xml:space="preserve">nie może stanowić </w:t>
            </w:r>
            <w:r>
              <w:t>podstawy</w:t>
            </w:r>
            <w:r w:rsidRPr="00A57398">
              <w:t xml:space="preserve"> pociągnięcia do odpowiedzialności dyscyplinarnej</w:t>
            </w:r>
            <w:r>
              <w:t>,</w:t>
            </w:r>
            <w:r w:rsidRPr="00AD2AF4">
              <w:t xml:space="preserve"> </w:t>
            </w:r>
            <w:r w:rsidRPr="00A57398">
              <w:lastRenderedPageBreak/>
              <w:t xml:space="preserve">pod warunkiem że zgłaszający miał uzasadnione podstawy, by sądzić, że zgłoszenie </w:t>
            </w:r>
            <w:r>
              <w:t xml:space="preserve">lub ujawnienie publiczne </w:t>
            </w:r>
            <w:r w:rsidRPr="00A57398">
              <w:t>jest niezbędne do ujawnienia naruszenia</w:t>
            </w:r>
            <w:r>
              <w:t xml:space="preserve"> prawa</w:t>
            </w:r>
            <w:r w:rsidRPr="00A57398">
              <w:t xml:space="preserve"> zgodnie z ustawą.</w:t>
            </w:r>
          </w:p>
          <w:p w:rsidR="006B695B" w:rsidRPr="00A57398" w:rsidRDefault="006B695B" w:rsidP="006B695B">
            <w:pPr>
              <w:pStyle w:val="ARTartustawynprozporzdzenia"/>
              <w:ind w:firstLine="0"/>
            </w:pPr>
            <w:r w:rsidRPr="00CD170F">
              <w:rPr>
                <w:rStyle w:val="Ppogrubienie"/>
              </w:rPr>
              <w:t xml:space="preserve">Art. </w:t>
            </w:r>
            <w:r>
              <w:rPr>
                <w:rStyle w:val="Ppogrubienie"/>
              </w:rPr>
              <w:t>18</w:t>
            </w:r>
            <w:r w:rsidRPr="00CD170F">
              <w:rPr>
                <w:rStyle w:val="Ppogrubienie"/>
              </w:rPr>
              <w:t>.</w:t>
            </w:r>
            <w:r w:rsidRPr="00A57398">
              <w:t xml:space="preserve"> </w:t>
            </w:r>
            <w:r>
              <w:t>Dokonanie z</w:t>
            </w:r>
            <w:r w:rsidRPr="00A57398">
              <w:t>głoszeni</w:t>
            </w:r>
            <w:r>
              <w:t>a</w:t>
            </w:r>
            <w:r w:rsidRPr="00A57398">
              <w:t xml:space="preserve"> </w:t>
            </w:r>
            <w:r>
              <w:t xml:space="preserve">lub ujawnienia publicznego </w:t>
            </w:r>
            <w:r w:rsidRPr="00A57398">
              <w:t>nie może stanowić podstawy odpowiedzialnośc</w:t>
            </w:r>
            <w:r>
              <w:t>i, w tym odpowiedzialności za szkodę,</w:t>
            </w:r>
            <w:r w:rsidRPr="00A57398">
              <w:t xml:space="preserve"> z tytułu naruszenia praw innych osób lub obowiązków określonych w przepisach prawa, w szczególności w przedmiocie zniesławienia, naruszenia dóbr osobistych, praw autorskich, przepisów o ochronie danych </w:t>
            </w:r>
            <w:r>
              <w:t xml:space="preserve">osobowych </w:t>
            </w:r>
            <w:r w:rsidRPr="00A57398">
              <w:t xml:space="preserve">oraz obowiązku zachowania tajemnicy, w tym tajemnicy przedsiębiorstwa, pod warunkiem że zgłaszający miał uzasadnione podstawy, by sądzić, że </w:t>
            </w:r>
            <w:r w:rsidRPr="00A57398">
              <w:lastRenderedPageBreak/>
              <w:t xml:space="preserve">zgłoszenie </w:t>
            </w:r>
            <w:r>
              <w:t xml:space="preserve">lub ujawnienie publiczne </w:t>
            </w:r>
            <w:r w:rsidRPr="00A57398">
              <w:t>jest niezbędne do ujawnienia naruszenia</w:t>
            </w:r>
            <w:r>
              <w:t xml:space="preserve"> prawa</w:t>
            </w:r>
            <w:r w:rsidRPr="00A57398">
              <w:t xml:space="preserve"> zgodnie z ustawą.</w:t>
            </w:r>
          </w:p>
          <w:p w:rsidR="00AD24FA" w:rsidRPr="00AD24FA" w:rsidRDefault="00AD24FA" w:rsidP="006B695B">
            <w:pPr>
              <w:pStyle w:val="ARTartustawynprozporzdzenia"/>
              <w:spacing w:line="240" w:lineRule="auto"/>
              <w:ind w:firstLine="0"/>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22</w:t>
            </w:r>
          </w:p>
        </w:tc>
        <w:tc>
          <w:tcPr>
            <w:tcW w:w="5953" w:type="dxa"/>
          </w:tcPr>
          <w:p w:rsidR="00555C0D" w:rsidRPr="00AD24FA" w:rsidRDefault="00555C0D"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Środki ochrony osób, których dotyczy zgłoszenie</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1.   Zgodnie z Kartą państwa członkowskie zapewniają osobom, których dotyczy zgłoszenie, korzystanie w pełni z prawa do skutecznego środka ochrony prawnej i dostępu do bezstronnego sądu, jak również domniemanie niewinności i prawo do obrony, w tym prawo do bycia wysłuchanym i prawo dostępu do akt.</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2.   Właściwe organy zapewniają, zgodnie z prawem krajowym, ochronę tożsamości osób, których dotyczy zgłoszenie, tak długo jak postępowania wyjaśniające uruchomione na skutek danego zgłoszenia lub ujawnienia publicznego są w toku.</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3.   Przepisy określone w art. 12, 17 i 18 dotyczące ochrony tożsamości osób dokonujących zgłoszenia stosuje się również do ochrony tożsamości osób, których dotyczy zgłoszenie.</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C14BB8" w:rsidP="00AD24FA">
            <w:pPr>
              <w:spacing w:line="240" w:lineRule="auto"/>
              <w:rPr>
                <w:rFonts w:asciiTheme="minorHAnsi" w:hAnsiTheme="minorHAnsi" w:cstheme="minorHAnsi"/>
                <w:b/>
                <w:szCs w:val="24"/>
              </w:rPr>
            </w:pPr>
            <w:r w:rsidRPr="00AD24FA">
              <w:rPr>
                <w:rFonts w:asciiTheme="minorHAnsi" w:hAnsiTheme="minorHAnsi" w:cstheme="minorHAnsi"/>
                <w:b/>
                <w:szCs w:val="24"/>
              </w:rPr>
              <w:t>T</w:t>
            </w:r>
          </w:p>
        </w:tc>
        <w:tc>
          <w:tcPr>
            <w:tcW w:w="850" w:type="dxa"/>
          </w:tcPr>
          <w:p w:rsidR="008F2D63" w:rsidRPr="00AD24FA" w:rsidRDefault="00C14BB8"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Art. </w:t>
            </w:r>
            <w:r w:rsidR="00AD24FA" w:rsidRPr="00AD24FA">
              <w:rPr>
                <w:rFonts w:asciiTheme="minorHAnsi" w:hAnsiTheme="minorHAnsi" w:cstheme="minorHAnsi"/>
                <w:b/>
                <w:szCs w:val="24"/>
              </w:rPr>
              <w:t>2</w:t>
            </w:r>
            <w:r w:rsidR="006B695B">
              <w:rPr>
                <w:rFonts w:asciiTheme="minorHAnsi" w:hAnsiTheme="minorHAnsi" w:cstheme="minorHAnsi"/>
                <w:b/>
                <w:szCs w:val="24"/>
              </w:rPr>
              <w:t>0</w:t>
            </w:r>
          </w:p>
        </w:tc>
        <w:tc>
          <w:tcPr>
            <w:tcW w:w="3827" w:type="dxa"/>
          </w:tcPr>
          <w:p w:rsidR="006B695B" w:rsidRPr="00A57398" w:rsidRDefault="006B695B" w:rsidP="002B00D9">
            <w:pPr>
              <w:pStyle w:val="ARTartustawynprozporzdzenia"/>
              <w:ind w:firstLine="0"/>
            </w:pPr>
            <w:r w:rsidRPr="00391239">
              <w:rPr>
                <w:rStyle w:val="Ppogrubienie"/>
              </w:rPr>
              <w:t>Art. 2</w:t>
            </w:r>
            <w:r>
              <w:rPr>
                <w:rStyle w:val="Ppogrubienie"/>
              </w:rPr>
              <w:t>0</w:t>
            </w:r>
            <w:r w:rsidRPr="00391239">
              <w:rPr>
                <w:rStyle w:val="Ppogrubienie"/>
              </w:rPr>
              <w:t>.</w:t>
            </w:r>
            <w:r w:rsidRPr="00A57398">
              <w:t xml:space="preserve"> </w:t>
            </w:r>
            <w:r>
              <w:t>Dokonanie z</w:t>
            </w:r>
            <w:r w:rsidRPr="00A57398">
              <w:t>głoszeni</w:t>
            </w:r>
            <w:r>
              <w:t>a</w:t>
            </w:r>
            <w:r w:rsidRPr="00A57398">
              <w:t xml:space="preserve"> </w:t>
            </w:r>
            <w:r>
              <w:t xml:space="preserve">lub ujawnienia publicznego </w:t>
            </w:r>
            <w:r w:rsidRPr="00A57398">
              <w:t>nie może stanowić podstawy nałożenia obowiązku bądź odmowy przyznania, ograniczenia lub odebrania uprawnienia, w szczególności koncesji</w:t>
            </w:r>
            <w:r>
              <w:t>,</w:t>
            </w:r>
            <w:r w:rsidRPr="00A57398">
              <w:t xml:space="preserve"> zezwolenia lub ulgi.</w:t>
            </w:r>
          </w:p>
          <w:p w:rsidR="008F2D63" w:rsidRPr="00AD24FA" w:rsidRDefault="008F2D63" w:rsidP="00AD24FA">
            <w:pPr>
              <w:pStyle w:val="USTustnpkodeksu"/>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t>Art. 23</w:t>
            </w:r>
          </w:p>
        </w:tc>
        <w:tc>
          <w:tcPr>
            <w:tcW w:w="5953" w:type="dxa"/>
          </w:tcPr>
          <w:p w:rsidR="00555C0D" w:rsidRPr="00AD24FA" w:rsidRDefault="00555C0D"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Sankcje</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   Państwa członkowskie ustanawiają skuteczne, proporcjonalne i odstraszające sankcje stosowane wobec osób fizycznych lub prawnych, które:</w:t>
            </w:r>
          </w:p>
          <w:tbl>
            <w:tblPr>
              <w:tblW w:w="5000" w:type="pct"/>
              <w:tblLayout w:type="fixed"/>
              <w:tblCellMar>
                <w:left w:w="0" w:type="dxa"/>
                <w:right w:w="0" w:type="dxa"/>
              </w:tblCellMar>
              <w:tblLook w:val="04A0" w:firstRow="1" w:lastRow="0" w:firstColumn="1" w:lastColumn="0" w:noHBand="0" w:noVBand="1"/>
            </w:tblPr>
            <w:tblGrid>
              <w:gridCol w:w="202"/>
              <w:gridCol w:w="5535"/>
            </w:tblGrid>
            <w:tr w:rsidR="00555C0D" w:rsidRPr="00AD24FA" w:rsidTr="00555C0D">
              <w:tc>
                <w:tcPr>
                  <w:tcW w:w="319"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087"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utrudniają lub usiłują utrudniać dokonywanie zgłoszeń;</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73"/>
              <w:gridCol w:w="5564"/>
            </w:tblGrid>
            <w:tr w:rsidR="00555C0D" w:rsidRPr="00AD24FA" w:rsidTr="00555C0D">
              <w:tc>
                <w:tcPr>
                  <w:tcW w:w="272"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r w:rsidR="00CB6DCE" w:rsidRPr="00AD24FA">
                    <w:rPr>
                      <w:rFonts w:asciiTheme="minorHAnsi" w:hAnsiTheme="minorHAnsi" w:cstheme="minorHAnsi"/>
                      <w:szCs w:val="24"/>
                      <w:lang w:eastAsia="pl-PL"/>
                    </w:rPr>
                    <w:t xml:space="preserve">  </w:t>
                  </w:r>
                </w:p>
              </w:tc>
              <w:tc>
                <w:tcPr>
                  <w:tcW w:w="9134"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555C0D" w:rsidRPr="00AD24FA">
                    <w:rPr>
                      <w:rFonts w:asciiTheme="minorHAnsi" w:hAnsiTheme="minorHAnsi" w:cstheme="minorHAnsi"/>
                      <w:szCs w:val="24"/>
                      <w:lang w:eastAsia="pl-PL"/>
                    </w:rPr>
                    <w:t>podejmują działania odwetowe wobec osób, o których mowa w art. 4;</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40"/>
              <w:gridCol w:w="5597"/>
            </w:tblGrid>
            <w:tr w:rsidR="00555C0D" w:rsidRPr="00AD24FA" w:rsidTr="00555C0D">
              <w:tc>
                <w:tcPr>
                  <w:tcW w:w="218"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c</w:t>
                  </w:r>
                </w:p>
              </w:tc>
              <w:tc>
                <w:tcPr>
                  <w:tcW w:w="9188"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w:t>
                  </w:r>
                  <w:r w:rsidR="00555C0D" w:rsidRPr="00AD24FA">
                    <w:rPr>
                      <w:rFonts w:asciiTheme="minorHAnsi" w:hAnsiTheme="minorHAnsi" w:cstheme="minorHAnsi"/>
                      <w:szCs w:val="24"/>
                      <w:lang w:eastAsia="pl-PL"/>
                    </w:rPr>
                    <w:t>wszczynają uciążliwe postępowania przeciwko osobom, o których mowa w art. 4;</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555C0D" w:rsidRPr="00AD24FA" w:rsidTr="00555C0D">
              <w:tc>
                <w:tcPr>
                  <w:tcW w:w="200"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lastRenderedPageBreak/>
                    <w:t>d</w:t>
                  </w:r>
                </w:p>
              </w:tc>
              <w:tc>
                <w:tcPr>
                  <w:tcW w:w="9206"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 </w:t>
                  </w:r>
                  <w:r w:rsidR="00555C0D" w:rsidRPr="00AD24FA">
                    <w:rPr>
                      <w:rFonts w:asciiTheme="minorHAnsi" w:hAnsiTheme="minorHAnsi" w:cstheme="minorHAnsi"/>
                      <w:szCs w:val="24"/>
                      <w:lang w:eastAsia="pl-PL"/>
                    </w:rPr>
                    <w:t>dopuszczają się naruszeń obowiązku zachowania poufności tożsamości osób dokonujących zgłoszenia, o którym to obowiązku mowa w art. 16.</w:t>
                  </w:r>
                </w:p>
              </w:tc>
            </w:tr>
          </w:tbl>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2.   Państwa członkowskie wprowadzają przepisy przewidujące skuteczne, proporcjonalne i odstraszające sankcje dla osób dokonujących zgłoszenia, wobec których ustalono, że świadomie dokonały zgłoszenia lub ujawnienia publicznego nieprawdziwych informacji. Państwa członkowskie wprowadzają również przepisy przewidujące, zgodnie z prawem krajowym, środki odszkodowawcze za szkodę wynikającą z takiego zgłoszenia lub ujawniania publicznego.</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3041DD"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8F2D63" w:rsidRPr="00AD24FA" w:rsidRDefault="003041DD"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Art. </w:t>
            </w:r>
            <w:r w:rsidR="00AD64C1">
              <w:rPr>
                <w:rFonts w:asciiTheme="minorHAnsi" w:hAnsiTheme="minorHAnsi" w:cstheme="minorHAnsi"/>
                <w:b/>
                <w:szCs w:val="24"/>
              </w:rPr>
              <w:t xml:space="preserve">56 - </w:t>
            </w:r>
            <w:r w:rsidRPr="00AD24FA">
              <w:rPr>
                <w:rFonts w:asciiTheme="minorHAnsi" w:hAnsiTheme="minorHAnsi" w:cstheme="minorHAnsi"/>
                <w:b/>
                <w:szCs w:val="24"/>
              </w:rPr>
              <w:t xml:space="preserve">60 </w:t>
            </w:r>
          </w:p>
        </w:tc>
        <w:tc>
          <w:tcPr>
            <w:tcW w:w="3827" w:type="dxa"/>
          </w:tcPr>
          <w:p w:rsidR="00AD64C1" w:rsidRPr="00A57398" w:rsidRDefault="00AD64C1" w:rsidP="002B00D9">
            <w:pPr>
              <w:pStyle w:val="ARTartustawynprozporzdzenia"/>
              <w:ind w:firstLine="0"/>
            </w:pPr>
            <w:r w:rsidRPr="0099528D">
              <w:rPr>
                <w:rStyle w:val="Ppogrubienie"/>
              </w:rPr>
              <w:t xml:space="preserve">Art. </w:t>
            </w:r>
            <w:r>
              <w:rPr>
                <w:rStyle w:val="Ppogrubienie"/>
              </w:rPr>
              <w:t>56</w:t>
            </w:r>
            <w:r w:rsidRPr="0099528D">
              <w:rPr>
                <w:rStyle w:val="Ppogrubienie"/>
              </w:rPr>
              <w:t>.</w:t>
            </w:r>
            <w:r w:rsidRPr="00A57398">
              <w:t xml:space="preserve"> Kto utrudnia dokonanie zgłoszenia podlega grzywnie, karze ograniczenia wolności albo pozbawienia wolności do lat 3.</w:t>
            </w:r>
          </w:p>
          <w:p w:rsidR="00AD64C1" w:rsidRPr="00A57398" w:rsidRDefault="00AD64C1" w:rsidP="002B00D9">
            <w:pPr>
              <w:pStyle w:val="ARTartustawynprozporzdzenia"/>
              <w:ind w:firstLine="0"/>
            </w:pPr>
            <w:r w:rsidRPr="0099528D">
              <w:rPr>
                <w:rStyle w:val="Ppogrubienie"/>
              </w:rPr>
              <w:t xml:space="preserve">Art. </w:t>
            </w:r>
            <w:r>
              <w:rPr>
                <w:rStyle w:val="Ppogrubienie"/>
              </w:rPr>
              <w:t>57</w:t>
            </w:r>
            <w:r w:rsidRPr="0099528D">
              <w:rPr>
                <w:rStyle w:val="Ppogrubienie"/>
              </w:rPr>
              <w:t>.</w:t>
            </w:r>
            <w:r w:rsidRPr="00A57398">
              <w:t xml:space="preserve"> Kto wbrew przepisom art. </w:t>
            </w:r>
            <w:r>
              <w:t>10</w:t>
            </w:r>
            <w:r w:rsidRPr="00A57398">
              <w:t xml:space="preserve"> podejmuje działania odwetowe wobec osoby</w:t>
            </w:r>
            <w:r>
              <w:t>,</w:t>
            </w:r>
            <w:r w:rsidRPr="00A57398">
              <w:t xml:space="preserve"> która dokonała zgłoszenia lub ujawnienia </w:t>
            </w:r>
            <w:r w:rsidRPr="00A57398">
              <w:lastRenderedPageBreak/>
              <w:t>publicznego, podlega grzywnie, karze ograniczenia wolności albo pozbawienia wolności do lat 3.</w:t>
            </w:r>
          </w:p>
          <w:p w:rsidR="00AD64C1" w:rsidRPr="00A57398" w:rsidRDefault="00AD64C1" w:rsidP="002B00D9">
            <w:pPr>
              <w:pStyle w:val="ARTartustawynprozporzdzenia"/>
              <w:ind w:firstLine="0"/>
            </w:pPr>
            <w:r w:rsidRPr="0099528D">
              <w:rPr>
                <w:rStyle w:val="Ppogrubienie"/>
              </w:rPr>
              <w:t xml:space="preserve">Art. </w:t>
            </w:r>
            <w:r>
              <w:rPr>
                <w:rStyle w:val="Ppogrubienie"/>
              </w:rPr>
              <w:t>58</w:t>
            </w:r>
            <w:r w:rsidRPr="0099528D">
              <w:rPr>
                <w:rStyle w:val="Ppogrubienie"/>
              </w:rPr>
              <w:t>.</w:t>
            </w:r>
            <w:r w:rsidRPr="00A57398">
              <w:t xml:space="preserve"> Kto wbrew przepisom art. </w:t>
            </w:r>
            <w:r>
              <w:t>30</w:t>
            </w:r>
            <w:r w:rsidRPr="00A57398">
              <w:t xml:space="preserve"> lub art. </w:t>
            </w:r>
            <w:r>
              <w:t>43</w:t>
            </w:r>
            <w:r w:rsidRPr="00A57398">
              <w:t xml:space="preserve"> narusza obowiązek zachowania poufności tożsamości osoby, która dokonała zgłoszenia, podlega grzywnie, karze ograniczenia wolności albo pozbawienia wolności do lat 3.</w:t>
            </w:r>
          </w:p>
          <w:p w:rsidR="00AD64C1" w:rsidRPr="00A57398" w:rsidRDefault="00AD64C1" w:rsidP="002B00D9">
            <w:pPr>
              <w:pStyle w:val="ARTartustawynprozporzdzenia"/>
              <w:ind w:firstLine="0"/>
            </w:pPr>
            <w:r w:rsidRPr="0099528D">
              <w:rPr>
                <w:rStyle w:val="Ppogrubienie"/>
              </w:rPr>
              <w:t xml:space="preserve">Art. </w:t>
            </w:r>
            <w:r>
              <w:rPr>
                <w:rStyle w:val="Ppogrubienie"/>
              </w:rPr>
              <w:t>59</w:t>
            </w:r>
            <w:r w:rsidRPr="0099528D">
              <w:rPr>
                <w:rStyle w:val="Ppogrubienie"/>
              </w:rPr>
              <w:t>.</w:t>
            </w:r>
            <w:r w:rsidRPr="00A57398">
              <w:t xml:space="preserve"> Kto dokonał zgłoszenia lub ujawnienia publicznego nieprawdziwych informacji podlega grzywnie, karze ograniczenia wolności albo pozbawienia wolności do lat 3.</w:t>
            </w:r>
          </w:p>
          <w:p w:rsidR="00AD64C1" w:rsidRPr="00A57398" w:rsidRDefault="00AD64C1" w:rsidP="002B00D9">
            <w:pPr>
              <w:pStyle w:val="ARTartustawynprozporzdzenia"/>
              <w:ind w:firstLine="0"/>
            </w:pPr>
            <w:r w:rsidRPr="0099528D">
              <w:rPr>
                <w:rStyle w:val="Ppogrubienie"/>
              </w:rPr>
              <w:t xml:space="preserve">Art. </w:t>
            </w:r>
            <w:r>
              <w:rPr>
                <w:rStyle w:val="Ppogrubienie"/>
              </w:rPr>
              <w:t>60</w:t>
            </w:r>
            <w:r w:rsidRPr="0099528D">
              <w:rPr>
                <w:rStyle w:val="Ppogrubienie"/>
              </w:rPr>
              <w:t>.</w:t>
            </w:r>
            <w:r w:rsidRPr="00A57398">
              <w:t xml:space="preserve"> </w:t>
            </w:r>
            <w:r>
              <w:t xml:space="preserve">Kto wbrew przepisom ustawy nie ustanowił </w:t>
            </w:r>
            <w:r w:rsidRPr="00A57398">
              <w:t>wewnętrzn</w:t>
            </w:r>
            <w:r>
              <w:t>ej</w:t>
            </w:r>
            <w:r w:rsidRPr="00A57398">
              <w:t xml:space="preserve"> procedur</w:t>
            </w:r>
            <w:r>
              <w:t>y</w:t>
            </w:r>
            <w:r w:rsidRPr="00A57398">
              <w:t xml:space="preserve"> zgłaszania naruszeń</w:t>
            </w:r>
            <w:r>
              <w:t xml:space="preserve"> prawa i podejmowania działań następczych </w:t>
            </w:r>
            <w:r>
              <w:lastRenderedPageBreak/>
              <w:t xml:space="preserve">albo ustanowiona procedura narusza art. 29 ust. 1, </w:t>
            </w:r>
            <w:r w:rsidRPr="00A57398">
              <w:t>podlega grzywnie, karze ograniczenia wolności albo pozbawienia wolności do lat 3.</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24</w:t>
            </w:r>
          </w:p>
        </w:tc>
        <w:tc>
          <w:tcPr>
            <w:tcW w:w="5953" w:type="dxa"/>
          </w:tcPr>
          <w:p w:rsidR="00555C0D" w:rsidRPr="00AD24FA" w:rsidRDefault="00555C0D"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Zakaz zrzeczenia się praw i środków ochrony prawnej</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 xml:space="preserve">Państwa członkowskie zapewniają, aby nie można było zrzec się praw i środków ochrony prawnej przewidzianych w niniejszej dyrektywie ani ograniczyć takich praw lub środków ochrony prawnej w drodze jakiejkolwiek umowy, polityki, formy zatrudnienia lub warunków zatrudnienia, w tym umowy o arbitraż na etapie </w:t>
            </w:r>
            <w:proofErr w:type="spellStart"/>
            <w:r w:rsidRPr="00AD24FA">
              <w:rPr>
                <w:rFonts w:asciiTheme="minorHAnsi" w:hAnsiTheme="minorHAnsi" w:cstheme="minorHAnsi"/>
                <w:color w:val="444444"/>
              </w:rPr>
              <w:t>przedspornym</w:t>
            </w:r>
            <w:proofErr w:type="spellEnd"/>
            <w:r w:rsidRPr="00AD24FA">
              <w:rPr>
                <w:rFonts w:asciiTheme="minorHAnsi" w:hAnsiTheme="minorHAnsi" w:cstheme="minorHAnsi"/>
                <w:color w:val="444444"/>
              </w:rPr>
              <w:t>.</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t>T</w:t>
            </w:r>
          </w:p>
        </w:tc>
        <w:tc>
          <w:tcPr>
            <w:tcW w:w="850" w:type="dxa"/>
          </w:tcPr>
          <w:p w:rsidR="008F2D63" w:rsidRPr="00AD24FA"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t>Art. 2</w:t>
            </w:r>
            <w:r w:rsidR="00AD64C1">
              <w:rPr>
                <w:rFonts w:asciiTheme="minorHAnsi" w:hAnsiTheme="minorHAnsi" w:cstheme="minorHAnsi"/>
                <w:b/>
                <w:szCs w:val="24"/>
              </w:rPr>
              <w:t>1</w:t>
            </w:r>
            <w:r w:rsidRPr="00AD24FA">
              <w:rPr>
                <w:rFonts w:asciiTheme="minorHAnsi" w:hAnsiTheme="minorHAnsi" w:cstheme="minorHAnsi"/>
                <w:b/>
                <w:szCs w:val="24"/>
              </w:rPr>
              <w:t xml:space="preserve"> – 2</w:t>
            </w:r>
            <w:r w:rsidR="00AD64C1">
              <w:rPr>
                <w:rFonts w:asciiTheme="minorHAnsi" w:hAnsiTheme="minorHAnsi" w:cstheme="minorHAnsi"/>
                <w:b/>
                <w:szCs w:val="24"/>
              </w:rPr>
              <w:t>3</w:t>
            </w:r>
            <w:r w:rsidRPr="00AD24FA">
              <w:rPr>
                <w:rFonts w:asciiTheme="minorHAnsi" w:hAnsiTheme="minorHAnsi" w:cstheme="minorHAnsi"/>
                <w:b/>
                <w:szCs w:val="24"/>
              </w:rPr>
              <w:t xml:space="preserve"> </w:t>
            </w:r>
          </w:p>
        </w:tc>
        <w:tc>
          <w:tcPr>
            <w:tcW w:w="3827" w:type="dxa"/>
          </w:tcPr>
          <w:p w:rsidR="00AD64C1" w:rsidRPr="00A57398" w:rsidRDefault="00AD64C1" w:rsidP="002B00D9">
            <w:pPr>
              <w:pStyle w:val="ARTartustawynprozporzdzenia"/>
              <w:ind w:firstLine="0"/>
            </w:pPr>
            <w:r w:rsidRPr="00391239">
              <w:rPr>
                <w:rStyle w:val="Ppogrubienie"/>
              </w:rPr>
              <w:t>Art. 2</w:t>
            </w:r>
            <w:r>
              <w:rPr>
                <w:rStyle w:val="Ppogrubienie"/>
              </w:rPr>
              <w:t>1</w:t>
            </w:r>
            <w:r w:rsidRPr="00391239">
              <w:rPr>
                <w:rStyle w:val="Ppogrubienie"/>
              </w:rPr>
              <w:t>.</w:t>
            </w:r>
            <w:r>
              <w:t xml:space="preserve"> </w:t>
            </w:r>
            <w:r w:rsidRPr="00A57398">
              <w:t>Nie można zrzec się praw określonych w niniejszym rozdziale ani przyjąć na siebie odpowiedzialności za szkodę powstałą z powodu dokonania zgłoszenia</w:t>
            </w:r>
            <w:r>
              <w:t xml:space="preserve"> lub ujawnienia publicznego</w:t>
            </w:r>
            <w:r w:rsidRPr="00A57398">
              <w:t xml:space="preserve">. </w:t>
            </w:r>
          </w:p>
          <w:p w:rsidR="00AD64C1" w:rsidRPr="00A57398" w:rsidRDefault="00AD64C1" w:rsidP="002B00D9">
            <w:pPr>
              <w:pStyle w:val="ARTartustawynprozporzdzenia"/>
              <w:ind w:firstLine="0"/>
            </w:pPr>
            <w:r w:rsidRPr="00391239">
              <w:rPr>
                <w:rStyle w:val="Ppogrubienie"/>
              </w:rPr>
              <w:t>Art. 2</w:t>
            </w:r>
            <w:r>
              <w:rPr>
                <w:rStyle w:val="Ppogrubienie"/>
              </w:rPr>
              <w:t>2</w:t>
            </w:r>
            <w:r w:rsidRPr="00391239">
              <w:rPr>
                <w:rStyle w:val="Ppogrubienie"/>
              </w:rPr>
              <w:t>.</w:t>
            </w:r>
            <w:r w:rsidRPr="00A57398">
              <w:t xml:space="preserve"> Postanowienia, o których mowa w art. 9 § 2 ustawy z dnia 26 czerwca 1974 r. </w:t>
            </w:r>
            <w:r>
              <w:t xml:space="preserve">– </w:t>
            </w:r>
            <w:r w:rsidRPr="00A57398">
              <w:t>Kodeks pracy, w zakresie, w jakim bezpośrednio lub pośrednio wyłączają lub ograniczają prawo do dokonania zgłoszenia</w:t>
            </w:r>
            <w:r>
              <w:t xml:space="preserve"> lub ujawnienia publicznego</w:t>
            </w:r>
            <w:r w:rsidRPr="00A57398">
              <w:t>, nie obowiązują.</w:t>
            </w:r>
          </w:p>
          <w:p w:rsidR="00AD64C1" w:rsidRPr="00A57398" w:rsidRDefault="00AD64C1" w:rsidP="002B00D9">
            <w:pPr>
              <w:pStyle w:val="ARTartustawynprozporzdzenia"/>
              <w:ind w:firstLine="0"/>
            </w:pPr>
            <w:r w:rsidRPr="00391239">
              <w:rPr>
                <w:rStyle w:val="Ppogrubienie"/>
              </w:rPr>
              <w:lastRenderedPageBreak/>
              <w:t>Art. 2</w:t>
            </w:r>
            <w:r>
              <w:rPr>
                <w:rStyle w:val="Ppogrubienie"/>
              </w:rPr>
              <w:t>3</w:t>
            </w:r>
            <w:r w:rsidRPr="00391239">
              <w:rPr>
                <w:rStyle w:val="Ppogrubienie"/>
              </w:rPr>
              <w:t>.</w:t>
            </w:r>
            <w:r w:rsidRPr="00A57398">
              <w:t xml:space="preserve"> Postanowienia umów o pracę, innych aktów, na których podstawie powstaje stosunek pracy lub kształtujących prawa i obowiązki stron stosunku pracy, w zakresie, w jakim bezpośrednio lub pośrednio wyłączają lub ograniczają prawo do dokonania zgłoszenia</w:t>
            </w:r>
            <w:r>
              <w:t xml:space="preserve"> lub ujawnienia publicznego</w:t>
            </w:r>
            <w:r w:rsidRPr="00A57398">
              <w:t>, są nieważne.</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t>Art. 25</w:t>
            </w:r>
          </w:p>
        </w:tc>
        <w:tc>
          <w:tcPr>
            <w:tcW w:w="5953" w:type="dxa"/>
          </w:tcPr>
          <w:p w:rsidR="009C62C8" w:rsidRPr="009C62C8" w:rsidRDefault="009C62C8" w:rsidP="009C62C8">
            <w:pPr>
              <w:pStyle w:val="Normalny1"/>
              <w:shd w:val="clear" w:color="auto" w:fill="FFFFFF"/>
              <w:spacing w:before="120" w:beforeAutospacing="0" w:after="0" w:afterAutospacing="0"/>
              <w:jc w:val="center"/>
              <w:rPr>
                <w:rFonts w:asciiTheme="minorHAnsi" w:hAnsiTheme="minorHAnsi" w:cstheme="minorHAnsi"/>
                <w:b/>
                <w:color w:val="444444"/>
              </w:rPr>
            </w:pPr>
            <w:r w:rsidRPr="009C62C8">
              <w:rPr>
                <w:rFonts w:asciiTheme="minorHAnsi" w:hAnsiTheme="minorHAnsi" w:cstheme="minorHAnsi"/>
                <w:b/>
                <w:color w:val="444444"/>
              </w:rPr>
              <w:t>Korzystniejsze traktowanie i klauzula o nieobniżaniu poziomu ochrony</w:t>
            </w:r>
          </w:p>
          <w:p w:rsidR="003041DD" w:rsidRPr="00AD24FA" w:rsidRDefault="003041D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1.   Państwa członkowskie mogą przyjąć lub utrzymać w mocy przepisy, które są korzystniejsze dla praw osób dokonujących zgłoszenia niż przepisy ustanowione w niniejszej dyrektywie, bez uszczerbku dla art. 22 i art. 23 ust. 2.</w:t>
            </w:r>
          </w:p>
          <w:p w:rsidR="003041DD" w:rsidRPr="00AD24FA" w:rsidRDefault="003041D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2.   Wdrożenie niniejszej dyrektywy nie może w żadnym przypadku stanowić podstawy obniżenia poziomu ochrony już przyznanej przez państwa członkowskie w dziedzinach objętych niniejszą dyrektywą.</w:t>
            </w:r>
          </w:p>
          <w:p w:rsidR="008F2D63" w:rsidRPr="00AD24FA" w:rsidRDefault="008F2D63" w:rsidP="00AD24FA">
            <w:pPr>
              <w:pStyle w:val="Normalny1"/>
              <w:shd w:val="clear" w:color="auto" w:fill="FFFFFF"/>
              <w:spacing w:before="120" w:beforeAutospacing="0" w:after="0" w:afterAutospacing="0"/>
              <w:jc w:val="both"/>
              <w:rPr>
                <w:rFonts w:asciiTheme="minorHAnsi" w:hAnsiTheme="minorHAnsi" w:cstheme="minorHAnsi"/>
              </w:rPr>
            </w:pPr>
          </w:p>
        </w:tc>
        <w:tc>
          <w:tcPr>
            <w:tcW w:w="851" w:type="dxa"/>
          </w:tcPr>
          <w:p w:rsidR="008F2D63" w:rsidRPr="00AD24FA" w:rsidRDefault="00AD24FA"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t>N</w:t>
            </w:r>
          </w:p>
        </w:tc>
        <w:tc>
          <w:tcPr>
            <w:tcW w:w="850" w:type="dxa"/>
          </w:tcPr>
          <w:p w:rsidR="008F2D63" w:rsidRPr="00AD24FA" w:rsidRDefault="008F2D63" w:rsidP="00CA1984">
            <w:pPr>
              <w:spacing w:line="240" w:lineRule="auto"/>
              <w:jc w:val="center"/>
              <w:rPr>
                <w:rFonts w:asciiTheme="minorHAnsi" w:hAnsiTheme="minorHAnsi" w:cstheme="minorHAnsi"/>
                <w:b/>
                <w:szCs w:val="24"/>
              </w:rPr>
            </w:pPr>
          </w:p>
        </w:tc>
        <w:tc>
          <w:tcPr>
            <w:tcW w:w="3827" w:type="dxa"/>
          </w:tcPr>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Art. 26</w:t>
            </w:r>
          </w:p>
        </w:tc>
        <w:tc>
          <w:tcPr>
            <w:tcW w:w="5953" w:type="dxa"/>
          </w:tcPr>
          <w:p w:rsidR="00555C0D" w:rsidRPr="00AD24FA" w:rsidRDefault="00555C0D"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Transpozycja i okres przejściowy</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1.   Państwa członkowskie wprowadzają w życie przepisy ustawowe, wykonawcze i administracyjne niezbędne do wykonania niniejszej dyrektywy do dnia 17 grudnia 2021 r.</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2.   Na zasadzie odstępstwa od ust. 1, w przypadku podmiotów prawnych w sektorze prywatnym zatrudniających od 50 do 249 pracowników, państwa członkowskie wprowadzają w życie do dnia 17 grudnia 2023 r. przepisy ustawowe, wykonawcze i administracyjne niezbędne do wypełnienia obowiązku ustanowienia wewnętrznych kanałów dokonywania zgłoszeń zgodnie z art. 8 ust. 3.</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3.   Przyjęte przez państwa członkowskie przepisy, o których mowa w ust. 1 i 2, zawierają odniesienie do niniejszej dyrektywy lub odniesienie takie towarzyszy ich urzędowej publikacji. Sposób dokonywania takiego odniesienia określany jest przez państwa członkowskie. Państwa członkowskie niezwłocznie przekazują Komisji tekst tych przepisów.</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3041DD"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t>T</w:t>
            </w:r>
          </w:p>
        </w:tc>
        <w:tc>
          <w:tcPr>
            <w:tcW w:w="850" w:type="dxa"/>
          </w:tcPr>
          <w:p w:rsidR="008F2D63" w:rsidRPr="00AD24FA" w:rsidRDefault="003041DD"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t>Art. 6</w:t>
            </w:r>
            <w:r w:rsidR="00F53AD8">
              <w:rPr>
                <w:rFonts w:asciiTheme="minorHAnsi" w:hAnsiTheme="minorHAnsi" w:cstheme="minorHAnsi"/>
                <w:b/>
                <w:szCs w:val="24"/>
              </w:rPr>
              <w:t>2</w:t>
            </w:r>
          </w:p>
        </w:tc>
        <w:tc>
          <w:tcPr>
            <w:tcW w:w="3827" w:type="dxa"/>
          </w:tcPr>
          <w:p w:rsidR="00AD64C1" w:rsidRPr="00A57398" w:rsidRDefault="00AD64C1" w:rsidP="002B00D9">
            <w:pPr>
              <w:pStyle w:val="ARTartustawynprozporzdzenia"/>
              <w:ind w:firstLine="0"/>
            </w:pPr>
            <w:r w:rsidRPr="0099528D">
              <w:rPr>
                <w:rStyle w:val="Ppogrubienie"/>
              </w:rPr>
              <w:t>Art. 6</w:t>
            </w:r>
            <w:r w:rsidR="00F53AD8">
              <w:rPr>
                <w:rStyle w:val="Ppogrubienie"/>
              </w:rPr>
              <w:t>2</w:t>
            </w:r>
            <w:r w:rsidRPr="0099528D">
              <w:rPr>
                <w:rStyle w:val="Ppogrubienie"/>
              </w:rPr>
              <w:t>.</w:t>
            </w:r>
            <w:r>
              <w:t xml:space="preserve"> </w:t>
            </w:r>
            <w:r w:rsidRPr="00A57398">
              <w:t xml:space="preserve">Realizacja obowiązku </w:t>
            </w:r>
            <w:r>
              <w:t>ustalenia regulaminu zgłoszeń wewnętrznych przez podmioty w</w:t>
            </w:r>
            <w:r w:rsidRPr="00A57398">
              <w:t xml:space="preserve"> sektorze prywatnym zatrudniające co najmniej 50 i mniej niż 250 pracowników  </w:t>
            </w:r>
            <w:r>
              <w:t xml:space="preserve">następuje </w:t>
            </w:r>
            <w:r w:rsidRPr="00A57398">
              <w:t xml:space="preserve">do dnia 17 grudnia 2023 r. </w:t>
            </w:r>
          </w:p>
          <w:p w:rsidR="008F2D63" w:rsidRPr="00AD24FA" w:rsidRDefault="008F2D63"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8F2D63" w:rsidRPr="00E52299" w:rsidTr="00E7625F">
        <w:tc>
          <w:tcPr>
            <w:tcW w:w="988" w:type="dxa"/>
          </w:tcPr>
          <w:p w:rsidR="008F2D63" w:rsidRPr="00AD24FA" w:rsidRDefault="008F2D63" w:rsidP="00AD24FA">
            <w:pPr>
              <w:spacing w:line="240" w:lineRule="auto"/>
              <w:rPr>
                <w:rFonts w:asciiTheme="minorHAnsi" w:hAnsiTheme="minorHAnsi" w:cstheme="minorHAnsi"/>
                <w:b/>
                <w:szCs w:val="24"/>
              </w:rPr>
            </w:pPr>
            <w:r w:rsidRPr="00AD24FA">
              <w:rPr>
                <w:rFonts w:asciiTheme="minorHAnsi" w:hAnsiTheme="minorHAnsi" w:cstheme="minorHAnsi"/>
                <w:b/>
                <w:szCs w:val="24"/>
              </w:rPr>
              <w:t>Art. 27</w:t>
            </w:r>
          </w:p>
        </w:tc>
        <w:tc>
          <w:tcPr>
            <w:tcW w:w="5953" w:type="dxa"/>
          </w:tcPr>
          <w:p w:rsidR="00555C0D" w:rsidRPr="00AD24FA" w:rsidRDefault="00555C0D"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b/>
                <w:bCs/>
                <w:color w:val="444444"/>
                <w:szCs w:val="24"/>
                <w:lang w:eastAsia="pl-PL"/>
              </w:rPr>
              <w:t>Monitorowanie, ocena i przegląd</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1.   Państwa członkowskie przekazują Komisji wszelkie istotne informacje dotyczące wdrażania i stosowania niniejszej dyrektywy. Na podstawie przekazanych informacji Komisja, do dnia 17 grudnia 2023 r., przedkłada Parlamentowi Europejskiemu i Radzie sprawozdanie z wdrażania i stosowania niniejszej dyrektywy.</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lastRenderedPageBreak/>
              <w:t>2.   Bez uszczerbku dla obowiązków sprawozdawczych określonych w innych aktach prawnych Unii państwa członkowskie przedkładają Komisji corocznie następujące dane statystyczne na temat zgłoszeń, o których mowa w rozdziale III, najlepiej w formie zagregowanej, jeżeli dane te są dostępne na poziomie centralnym w danym państwie członkowskim:</w:t>
            </w:r>
          </w:p>
          <w:tbl>
            <w:tblPr>
              <w:tblW w:w="5000" w:type="pct"/>
              <w:tblLayout w:type="fixed"/>
              <w:tblCellMar>
                <w:left w:w="0" w:type="dxa"/>
                <w:right w:w="0" w:type="dxa"/>
              </w:tblCellMar>
              <w:tblLook w:val="04A0" w:firstRow="1" w:lastRow="0" w:firstColumn="1" w:lastColumn="0" w:noHBand="0" w:noVBand="1"/>
            </w:tblPr>
            <w:tblGrid>
              <w:gridCol w:w="220"/>
              <w:gridCol w:w="5517"/>
            </w:tblGrid>
            <w:tr w:rsidR="00555C0D" w:rsidRPr="00AD24FA" w:rsidTr="00555C0D">
              <w:tc>
                <w:tcPr>
                  <w:tcW w:w="348"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a)</w:t>
                  </w:r>
                </w:p>
              </w:tc>
              <w:tc>
                <w:tcPr>
                  <w:tcW w:w="9058"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liczbę zgłoszeń przyjętych przez właściwe organy;</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9"/>
              <w:gridCol w:w="5608"/>
            </w:tblGrid>
            <w:tr w:rsidR="00555C0D" w:rsidRPr="00AD24FA" w:rsidTr="00555C0D">
              <w:tc>
                <w:tcPr>
                  <w:tcW w:w="200"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b</w:t>
                  </w:r>
                </w:p>
              </w:tc>
              <w:tc>
                <w:tcPr>
                  <w:tcW w:w="9206"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 </w:t>
                  </w:r>
                  <w:r w:rsidR="00555C0D" w:rsidRPr="00AD24FA">
                    <w:rPr>
                      <w:rFonts w:asciiTheme="minorHAnsi" w:hAnsiTheme="minorHAnsi" w:cstheme="minorHAnsi"/>
                      <w:szCs w:val="24"/>
                      <w:lang w:eastAsia="pl-PL"/>
                    </w:rPr>
                    <w:t>liczbę postępowań wyjaśniających i postępowań wszczętych w wyniku takich zgłoszeń oraz informacje na temat ich wyniku; oraz</w:t>
                  </w:r>
                </w:p>
              </w:tc>
            </w:tr>
          </w:tbl>
          <w:p w:rsidR="00555C0D" w:rsidRPr="00AD24FA" w:rsidRDefault="00555C0D" w:rsidP="00AD24FA">
            <w:pPr>
              <w:widowControl/>
              <w:shd w:val="clear" w:color="auto" w:fill="FFFFFF"/>
              <w:autoSpaceDE/>
              <w:autoSpaceDN/>
              <w:adjustRightInd/>
              <w:spacing w:line="240" w:lineRule="auto"/>
              <w:rPr>
                <w:rFonts w:asciiTheme="minorHAnsi" w:hAnsiTheme="minorHAnsi" w:cstheme="minorHAnsi"/>
                <w:vanish/>
                <w:color w:val="444444"/>
                <w:szCs w:val="24"/>
                <w:lang w:eastAsia="pl-PL"/>
              </w:rPr>
            </w:pPr>
          </w:p>
          <w:tbl>
            <w:tblPr>
              <w:tblW w:w="5000" w:type="pct"/>
              <w:tblLayout w:type="fixed"/>
              <w:tblCellMar>
                <w:left w:w="0" w:type="dxa"/>
                <w:right w:w="0" w:type="dxa"/>
              </w:tblCellMar>
              <w:tblLook w:val="04A0" w:firstRow="1" w:lastRow="0" w:firstColumn="1" w:lastColumn="0" w:noHBand="0" w:noVBand="1"/>
            </w:tblPr>
            <w:tblGrid>
              <w:gridCol w:w="122"/>
              <w:gridCol w:w="5615"/>
            </w:tblGrid>
            <w:tr w:rsidR="00555C0D" w:rsidRPr="00AD24FA" w:rsidTr="00555C0D">
              <w:tc>
                <w:tcPr>
                  <w:tcW w:w="187" w:type="dxa"/>
                  <w:shd w:val="clear" w:color="auto" w:fill="auto"/>
                  <w:hideMark/>
                </w:tcPr>
                <w:p w:rsidR="00555C0D" w:rsidRPr="00AD24FA" w:rsidRDefault="00555C0D"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c</w:t>
                  </w:r>
                </w:p>
              </w:tc>
              <w:tc>
                <w:tcPr>
                  <w:tcW w:w="9219" w:type="dxa"/>
                  <w:shd w:val="clear" w:color="auto" w:fill="auto"/>
                  <w:hideMark/>
                </w:tcPr>
                <w:p w:rsidR="00555C0D" w:rsidRPr="00AD24FA" w:rsidRDefault="00CB6DCE" w:rsidP="00AD24FA">
                  <w:pPr>
                    <w:widowControl/>
                    <w:autoSpaceDE/>
                    <w:autoSpaceDN/>
                    <w:adjustRightInd/>
                    <w:spacing w:before="120" w:line="240" w:lineRule="auto"/>
                    <w:jc w:val="both"/>
                    <w:rPr>
                      <w:rFonts w:asciiTheme="minorHAnsi" w:hAnsiTheme="minorHAnsi" w:cstheme="minorHAnsi"/>
                      <w:szCs w:val="24"/>
                      <w:lang w:eastAsia="pl-PL"/>
                    </w:rPr>
                  </w:pPr>
                  <w:r w:rsidRPr="00AD24FA">
                    <w:rPr>
                      <w:rFonts w:asciiTheme="minorHAnsi" w:hAnsiTheme="minorHAnsi" w:cstheme="minorHAnsi"/>
                      <w:szCs w:val="24"/>
                      <w:lang w:eastAsia="pl-PL"/>
                    </w:rPr>
                    <w:t xml:space="preserve"> ) </w:t>
                  </w:r>
                  <w:r w:rsidR="00555C0D" w:rsidRPr="00AD24FA">
                    <w:rPr>
                      <w:rFonts w:asciiTheme="minorHAnsi" w:hAnsiTheme="minorHAnsi" w:cstheme="minorHAnsi"/>
                      <w:szCs w:val="24"/>
                      <w:lang w:eastAsia="pl-PL"/>
                    </w:rPr>
                    <w:t>szacunkowa szkoda majątkowa, jeżeli została stwierdzona, oraz kwoty odzyskane w wyniku postępowań wyjaśniających i postępowań dotyczących naruszeń będących przedmiotem zgłoszenia.</w:t>
                  </w:r>
                </w:p>
              </w:tc>
            </w:tr>
          </w:tbl>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 xml:space="preserve">3.   Do dnia 17 grudnia 2025 r. Komisja, uwzględniając swoje sprawozdanie przedłożone na podstawie ust. 1 oraz dane statystyczne państw członkowskich przekazane na podstawie ust. 2, przedkłada Parlamentowi Europejskiemu i Radzie sprawozdanie oceniające skutki prawa krajowego transponującego niniejszą dyrektywę. W sprawozdaniu ocenia się sposób funkcjonowania niniejszej dyrektywy oraz rozważa potrzebę wprowadzenia dodatkowych środków, w tym – w stosownych przypadkach – zmian mających na celu rozszerzenie zakresu stosowania niniejszej dyrektywy na kolejne akty Unii lub dziedziny, w szczególności poprawę środowiska pracy w celu ochrony </w:t>
            </w:r>
            <w:r w:rsidRPr="00AD24FA">
              <w:rPr>
                <w:rFonts w:asciiTheme="minorHAnsi" w:hAnsiTheme="minorHAnsi" w:cstheme="minorHAnsi"/>
                <w:color w:val="444444"/>
                <w:szCs w:val="24"/>
                <w:lang w:eastAsia="pl-PL"/>
              </w:rPr>
              <w:lastRenderedPageBreak/>
              <w:t>zdrowia i bezpieczeństwa pracowników oraz poprawę warunków pracy.</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Oprócz oceny, o której mowa w akapicie pierwszym, w sprawozdaniu ocenia się, w jaki sposób państwa członkowskie korzystały z istniejących mechanizmów współpracy w ramach wypełniania obowiązków dotyczących podejmowania działań następczych w związku ze zgłoszeniami dotyczącymi naruszeń objętych zakresem stosowania niniejszej dyrektywy oraz w ujęciu bardziej ogólnym, jak współpracowały w przypadku naruszeń o wymiarze transgranicznym.</w:t>
            </w:r>
          </w:p>
          <w:p w:rsidR="00555C0D" w:rsidRPr="00AD24FA" w:rsidRDefault="00555C0D" w:rsidP="00AD24FA">
            <w:pPr>
              <w:widowControl/>
              <w:shd w:val="clear" w:color="auto" w:fill="FFFFFF"/>
              <w:autoSpaceDE/>
              <w:autoSpaceDN/>
              <w:adjustRightInd/>
              <w:spacing w:before="120" w:line="240" w:lineRule="auto"/>
              <w:jc w:val="both"/>
              <w:rPr>
                <w:rFonts w:asciiTheme="minorHAnsi" w:hAnsiTheme="minorHAnsi" w:cstheme="minorHAnsi"/>
                <w:color w:val="444444"/>
                <w:szCs w:val="24"/>
                <w:lang w:eastAsia="pl-PL"/>
              </w:rPr>
            </w:pPr>
            <w:r w:rsidRPr="00AD24FA">
              <w:rPr>
                <w:rFonts w:asciiTheme="minorHAnsi" w:hAnsiTheme="minorHAnsi" w:cstheme="minorHAnsi"/>
                <w:color w:val="444444"/>
                <w:szCs w:val="24"/>
                <w:lang w:eastAsia="pl-PL"/>
              </w:rPr>
              <w:t>4.   Komisja podaje do wiadomości publicznej sprawozdania, o których mowa w ust. 1 i 3, i dba, by były łatwo dostępne.</w:t>
            </w:r>
          </w:p>
          <w:p w:rsidR="008F2D63" w:rsidRPr="00AD24FA" w:rsidRDefault="008F2D63" w:rsidP="00AD24FA">
            <w:pPr>
              <w:spacing w:line="240" w:lineRule="auto"/>
              <w:rPr>
                <w:rFonts w:asciiTheme="minorHAnsi" w:hAnsiTheme="minorHAnsi" w:cstheme="minorHAnsi"/>
                <w:szCs w:val="24"/>
              </w:rPr>
            </w:pPr>
          </w:p>
        </w:tc>
        <w:tc>
          <w:tcPr>
            <w:tcW w:w="851" w:type="dxa"/>
          </w:tcPr>
          <w:p w:rsidR="008F2D63" w:rsidRPr="00AD24FA" w:rsidRDefault="00AD24FA"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lastRenderedPageBreak/>
              <w:t>T</w:t>
            </w:r>
          </w:p>
        </w:tc>
        <w:tc>
          <w:tcPr>
            <w:tcW w:w="850" w:type="dxa"/>
          </w:tcPr>
          <w:p w:rsidR="00AD64C1"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t>Art. 4</w:t>
            </w:r>
            <w:r w:rsidR="00AD64C1">
              <w:rPr>
                <w:rFonts w:asciiTheme="minorHAnsi" w:hAnsiTheme="minorHAnsi" w:cstheme="minorHAnsi"/>
                <w:b/>
                <w:szCs w:val="24"/>
              </w:rPr>
              <w:t xml:space="preserve">0 </w:t>
            </w:r>
            <w:r w:rsidRPr="00AD24FA">
              <w:rPr>
                <w:rFonts w:asciiTheme="minorHAnsi" w:hAnsiTheme="minorHAnsi" w:cstheme="minorHAnsi"/>
                <w:b/>
                <w:szCs w:val="24"/>
              </w:rPr>
              <w:t>ust. 3</w:t>
            </w:r>
          </w:p>
          <w:p w:rsidR="008F2D63" w:rsidRPr="00AD24FA"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 oraz art. </w:t>
            </w:r>
            <w:r w:rsidR="00AD64C1">
              <w:rPr>
                <w:rFonts w:asciiTheme="minorHAnsi" w:hAnsiTheme="minorHAnsi" w:cstheme="minorHAnsi"/>
                <w:b/>
                <w:szCs w:val="24"/>
              </w:rPr>
              <w:t>47</w:t>
            </w:r>
            <w:r w:rsidRPr="00AD24FA">
              <w:rPr>
                <w:rFonts w:asciiTheme="minorHAnsi" w:hAnsiTheme="minorHAnsi" w:cstheme="minorHAnsi"/>
                <w:b/>
                <w:szCs w:val="24"/>
              </w:rPr>
              <w:t>ust. 3</w:t>
            </w:r>
          </w:p>
        </w:tc>
        <w:tc>
          <w:tcPr>
            <w:tcW w:w="3827" w:type="dxa"/>
          </w:tcPr>
          <w:p w:rsidR="00AD64C1" w:rsidRDefault="00AD64C1" w:rsidP="002B00D9">
            <w:pPr>
              <w:pStyle w:val="USTustnpkodeksu"/>
              <w:ind w:firstLine="0"/>
            </w:pPr>
            <w:r w:rsidRPr="002B00D9">
              <w:rPr>
                <w:b/>
              </w:rPr>
              <w:t>Art. 40 ust. 3</w:t>
            </w:r>
            <w:r>
              <w:t xml:space="preserve">. Organ centralny na podstawie sprawozdań, o których mowa w ust. 1, </w:t>
            </w:r>
            <w:r w:rsidRPr="00AB6414">
              <w:t xml:space="preserve">sporządza sprawozdanie </w:t>
            </w:r>
            <w:r w:rsidRPr="00A57398">
              <w:t xml:space="preserve">za </w:t>
            </w:r>
            <w:r>
              <w:t xml:space="preserve">dany </w:t>
            </w:r>
            <w:r w:rsidRPr="00A57398">
              <w:t>r</w:t>
            </w:r>
            <w:r w:rsidRPr="00AB6414">
              <w:t xml:space="preserve">ok kalendarzowy </w:t>
            </w:r>
            <w:r>
              <w:t xml:space="preserve">i przekazuje go do Komisji Europejskiej. </w:t>
            </w:r>
          </w:p>
          <w:p w:rsidR="00AD64C1" w:rsidRDefault="00AD64C1" w:rsidP="002B00D9">
            <w:pPr>
              <w:pStyle w:val="USTustnpkodeksu"/>
              <w:ind w:firstLine="0"/>
            </w:pPr>
            <w:r w:rsidRPr="002B00D9">
              <w:rPr>
                <w:b/>
              </w:rPr>
              <w:lastRenderedPageBreak/>
              <w:t xml:space="preserve">Art. 47 </w:t>
            </w:r>
            <w:r w:rsidR="002B00D9" w:rsidRPr="002B00D9">
              <w:rPr>
                <w:b/>
              </w:rPr>
              <w:t xml:space="preserve">ust. </w:t>
            </w:r>
            <w:r w:rsidRPr="002B00D9">
              <w:rPr>
                <w:b/>
              </w:rPr>
              <w:t>3.</w:t>
            </w:r>
            <w:r w:rsidRPr="00A57398">
              <w:t xml:space="preserve"> W uzasadnionych przypadkach organ </w:t>
            </w:r>
            <w:r>
              <w:t xml:space="preserve">publiczny </w:t>
            </w:r>
            <w:r w:rsidRPr="00A57398">
              <w:t xml:space="preserve">przekazuje </w:t>
            </w:r>
            <w:r>
              <w:t xml:space="preserve">bez zbędnej zwłoki </w:t>
            </w:r>
            <w:r w:rsidRPr="00A57398">
              <w:t xml:space="preserve">właściwym instytucjom, organom lub jednostkom organizacyjnym Unii </w:t>
            </w:r>
            <w:r>
              <w:t xml:space="preserve">Europejskiej </w:t>
            </w:r>
            <w:r w:rsidRPr="00A57398">
              <w:t>informacje zawarte w zgłoszeniu w celu dalszego postępowania wyjaśniającego.</w:t>
            </w:r>
          </w:p>
          <w:p w:rsidR="00AD24FA" w:rsidRPr="00AD24FA" w:rsidRDefault="00AD24FA" w:rsidP="00AD24FA">
            <w:pPr>
              <w:pStyle w:val="USTustnpkodeksu"/>
              <w:spacing w:line="240" w:lineRule="auto"/>
              <w:ind w:firstLine="0"/>
              <w:rPr>
                <w:rFonts w:asciiTheme="minorHAnsi" w:hAnsiTheme="minorHAnsi" w:cstheme="minorHAnsi"/>
                <w:szCs w:val="24"/>
              </w:rPr>
            </w:pPr>
          </w:p>
          <w:p w:rsidR="00AD24FA" w:rsidRPr="00AD24FA" w:rsidRDefault="00AD24FA" w:rsidP="00AD24FA">
            <w:pPr>
              <w:spacing w:line="240" w:lineRule="auto"/>
              <w:rPr>
                <w:rFonts w:asciiTheme="minorHAnsi" w:hAnsiTheme="minorHAnsi" w:cstheme="minorHAnsi"/>
                <w:szCs w:val="24"/>
              </w:rPr>
            </w:pPr>
          </w:p>
        </w:tc>
        <w:tc>
          <w:tcPr>
            <w:tcW w:w="3119" w:type="dxa"/>
          </w:tcPr>
          <w:p w:rsidR="008F2D63" w:rsidRPr="00AD24FA" w:rsidRDefault="008F2D63" w:rsidP="00AD24FA">
            <w:pPr>
              <w:spacing w:line="240" w:lineRule="auto"/>
              <w:rPr>
                <w:rFonts w:asciiTheme="minorHAnsi" w:eastAsia="Calibri" w:hAnsiTheme="minorHAnsi" w:cstheme="minorHAnsi"/>
                <w:szCs w:val="24"/>
              </w:rPr>
            </w:pPr>
          </w:p>
        </w:tc>
      </w:tr>
      <w:tr w:rsidR="00555C0D" w:rsidRPr="00E52299" w:rsidTr="00E7625F">
        <w:tc>
          <w:tcPr>
            <w:tcW w:w="988" w:type="dxa"/>
          </w:tcPr>
          <w:p w:rsidR="00555C0D" w:rsidRPr="00AD24FA" w:rsidRDefault="00555C0D" w:rsidP="00AD24FA">
            <w:pPr>
              <w:spacing w:line="240" w:lineRule="auto"/>
              <w:rPr>
                <w:rFonts w:asciiTheme="minorHAnsi" w:hAnsiTheme="minorHAnsi" w:cstheme="minorHAnsi"/>
                <w:b/>
                <w:szCs w:val="24"/>
              </w:rPr>
            </w:pPr>
            <w:r w:rsidRPr="00AD24FA">
              <w:rPr>
                <w:rFonts w:asciiTheme="minorHAnsi" w:hAnsiTheme="minorHAnsi" w:cstheme="minorHAnsi"/>
                <w:b/>
                <w:szCs w:val="24"/>
              </w:rPr>
              <w:lastRenderedPageBreak/>
              <w:t xml:space="preserve">Art. 28 </w:t>
            </w:r>
          </w:p>
        </w:tc>
        <w:tc>
          <w:tcPr>
            <w:tcW w:w="5953" w:type="dxa"/>
          </w:tcPr>
          <w:p w:rsidR="009C62C8" w:rsidRPr="009C62C8" w:rsidRDefault="009C62C8" w:rsidP="00AD24FA">
            <w:pPr>
              <w:widowControl/>
              <w:shd w:val="clear" w:color="auto" w:fill="FFFFFF"/>
              <w:autoSpaceDE/>
              <w:autoSpaceDN/>
              <w:adjustRightInd/>
              <w:spacing w:before="60" w:after="120" w:line="240" w:lineRule="auto"/>
              <w:jc w:val="center"/>
              <w:rPr>
                <w:rFonts w:asciiTheme="minorHAnsi" w:hAnsiTheme="minorHAnsi" w:cstheme="minorHAnsi"/>
                <w:b/>
                <w:color w:val="444444"/>
                <w:szCs w:val="24"/>
                <w:shd w:val="clear" w:color="auto" w:fill="FFFFFF"/>
              </w:rPr>
            </w:pPr>
            <w:r w:rsidRPr="009C62C8">
              <w:rPr>
                <w:rFonts w:asciiTheme="minorHAnsi" w:hAnsiTheme="minorHAnsi" w:cstheme="minorHAnsi"/>
                <w:b/>
                <w:color w:val="444444"/>
                <w:szCs w:val="24"/>
                <w:shd w:val="clear" w:color="auto" w:fill="FFFFFF"/>
              </w:rPr>
              <w:t xml:space="preserve">Wejście w życie </w:t>
            </w:r>
          </w:p>
          <w:p w:rsidR="009C62C8" w:rsidRDefault="009C62C8" w:rsidP="00AD24FA">
            <w:pPr>
              <w:widowControl/>
              <w:shd w:val="clear" w:color="auto" w:fill="FFFFFF"/>
              <w:autoSpaceDE/>
              <w:autoSpaceDN/>
              <w:adjustRightInd/>
              <w:spacing w:before="60" w:after="120" w:line="240" w:lineRule="auto"/>
              <w:jc w:val="center"/>
              <w:rPr>
                <w:rFonts w:asciiTheme="minorHAnsi" w:hAnsiTheme="minorHAnsi" w:cstheme="minorHAnsi"/>
                <w:color w:val="444444"/>
                <w:szCs w:val="24"/>
                <w:shd w:val="clear" w:color="auto" w:fill="FFFFFF"/>
              </w:rPr>
            </w:pPr>
          </w:p>
          <w:p w:rsidR="00555C0D" w:rsidRPr="00AD24FA" w:rsidRDefault="00555C0D" w:rsidP="00AD24FA">
            <w:pPr>
              <w:widowControl/>
              <w:shd w:val="clear" w:color="auto" w:fill="FFFFFF"/>
              <w:autoSpaceDE/>
              <w:autoSpaceDN/>
              <w:adjustRightInd/>
              <w:spacing w:before="60" w:after="120" w:line="240" w:lineRule="auto"/>
              <w:jc w:val="center"/>
              <w:rPr>
                <w:rFonts w:asciiTheme="minorHAnsi" w:hAnsiTheme="minorHAnsi" w:cstheme="minorHAnsi"/>
                <w:b/>
                <w:bCs/>
                <w:color w:val="444444"/>
                <w:szCs w:val="24"/>
                <w:lang w:eastAsia="pl-PL"/>
              </w:rPr>
            </w:pPr>
            <w:r w:rsidRPr="00AD24FA">
              <w:rPr>
                <w:rFonts w:asciiTheme="minorHAnsi" w:hAnsiTheme="minorHAnsi" w:cstheme="minorHAnsi"/>
                <w:color w:val="444444"/>
                <w:szCs w:val="24"/>
                <w:shd w:val="clear" w:color="auto" w:fill="FFFFFF"/>
              </w:rPr>
              <w:t>Niniejsza dyrektywa wchodzi w życie dwudziestego dnia po jej opublikowaniu w </w:t>
            </w:r>
            <w:r w:rsidRPr="00AD24FA">
              <w:rPr>
                <w:rStyle w:val="italic"/>
                <w:rFonts w:asciiTheme="minorHAnsi" w:hAnsiTheme="minorHAnsi" w:cstheme="minorHAnsi"/>
                <w:i/>
                <w:iCs/>
                <w:color w:val="444444"/>
                <w:szCs w:val="24"/>
                <w:shd w:val="clear" w:color="auto" w:fill="FFFFFF"/>
              </w:rPr>
              <w:t>Dzienniku Urzędowym Unii Europejskiej</w:t>
            </w:r>
            <w:r w:rsidRPr="00AD24FA">
              <w:rPr>
                <w:rFonts w:asciiTheme="minorHAnsi" w:hAnsiTheme="minorHAnsi" w:cstheme="minorHAnsi"/>
                <w:color w:val="444444"/>
                <w:szCs w:val="24"/>
                <w:shd w:val="clear" w:color="auto" w:fill="FFFFFF"/>
              </w:rPr>
              <w:t>.</w:t>
            </w:r>
          </w:p>
        </w:tc>
        <w:tc>
          <w:tcPr>
            <w:tcW w:w="851" w:type="dxa"/>
          </w:tcPr>
          <w:p w:rsidR="00555C0D" w:rsidRPr="00AD24FA" w:rsidRDefault="00AD24FA" w:rsidP="00CA1984">
            <w:pPr>
              <w:spacing w:line="240" w:lineRule="auto"/>
              <w:jc w:val="center"/>
              <w:rPr>
                <w:rFonts w:asciiTheme="minorHAnsi" w:hAnsiTheme="minorHAnsi" w:cstheme="minorHAnsi"/>
                <w:b/>
                <w:szCs w:val="24"/>
              </w:rPr>
            </w:pPr>
            <w:r w:rsidRPr="00AD24FA">
              <w:rPr>
                <w:rFonts w:asciiTheme="minorHAnsi" w:hAnsiTheme="minorHAnsi" w:cstheme="minorHAnsi"/>
                <w:b/>
                <w:szCs w:val="24"/>
              </w:rPr>
              <w:t>T</w:t>
            </w:r>
          </w:p>
        </w:tc>
        <w:tc>
          <w:tcPr>
            <w:tcW w:w="850" w:type="dxa"/>
          </w:tcPr>
          <w:p w:rsidR="00555C0D" w:rsidRPr="00AD24FA" w:rsidRDefault="00AD24FA" w:rsidP="00AD24FA">
            <w:pPr>
              <w:spacing w:line="240" w:lineRule="auto"/>
              <w:rPr>
                <w:rFonts w:asciiTheme="minorHAnsi" w:hAnsiTheme="minorHAnsi" w:cstheme="minorHAnsi"/>
                <w:b/>
                <w:szCs w:val="24"/>
              </w:rPr>
            </w:pPr>
            <w:r w:rsidRPr="00AD24FA">
              <w:rPr>
                <w:rFonts w:asciiTheme="minorHAnsi" w:hAnsiTheme="minorHAnsi" w:cstheme="minorHAnsi"/>
                <w:b/>
                <w:szCs w:val="24"/>
              </w:rPr>
              <w:t>Art. 6</w:t>
            </w:r>
            <w:r w:rsidR="00F53AD8">
              <w:rPr>
                <w:rFonts w:asciiTheme="minorHAnsi" w:hAnsiTheme="minorHAnsi" w:cstheme="minorHAnsi"/>
                <w:b/>
                <w:szCs w:val="24"/>
              </w:rPr>
              <w:t>3</w:t>
            </w:r>
          </w:p>
        </w:tc>
        <w:tc>
          <w:tcPr>
            <w:tcW w:w="3827" w:type="dxa"/>
          </w:tcPr>
          <w:p w:rsidR="00AD64C1" w:rsidRPr="00737F6A" w:rsidRDefault="00AD64C1" w:rsidP="002B00D9">
            <w:pPr>
              <w:pStyle w:val="ARTartustawynprozporzdzenia"/>
              <w:ind w:firstLine="0"/>
            </w:pPr>
            <w:r w:rsidRPr="0099528D">
              <w:rPr>
                <w:rStyle w:val="Ppogrubienie"/>
              </w:rPr>
              <w:t>Art. 6</w:t>
            </w:r>
            <w:r w:rsidR="00F53AD8">
              <w:rPr>
                <w:rStyle w:val="Ppogrubienie"/>
              </w:rPr>
              <w:t>3</w:t>
            </w:r>
            <w:r w:rsidRPr="0099528D">
              <w:rPr>
                <w:rStyle w:val="Ppogrubienie"/>
              </w:rPr>
              <w:t>.</w:t>
            </w:r>
            <w:r w:rsidRPr="00A57398">
              <w:t xml:space="preserve"> Ustawa wchodzi w życie po upływie </w:t>
            </w:r>
            <w:r>
              <w:t>14</w:t>
            </w:r>
            <w:r w:rsidRPr="00A57398">
              <w:t xml:space="preserve"> dni od dnia ogłoszenia.</w:t>
            </w:r>
          </w:p>
          <w:p w:rsidR="00555C0D" w:rsidRPr="00AD24FA" w:rsidRDefault="00555C0D" w:rsidP="00AD24FA">
            <w:pPr>
              <w:spacing w:line="240" w:lineRule="auto"/>
              <w:rPr>
                <w:rFonts w:asciiTheme="minorHAnsi" w:hAnsiTheme="minorHAnsi" w:cstheme="minorHAnsi"/>
                <w:szCs w:val="24"/>
              </w:rPr>
            </w:pPr>
          </w:p>
        </w:tc>
        <w:tc>
          <w:tcPr>
            <w:tcW w:w="3119" w:type="dxa"/>
          </w:tcPr>
          <w:p w:rsidR="00555C0D" w:rsidRPr="00AD24FA" w:rsidRDefault="00555C0D" w:rsidP="00AD24FA">
            <w:pPr>
              <w:spacing w:line="240" w:lineRule="auto"/>
              <w:rPr>
                <w:rFonts w:asciiTheme="minorHAnsi" w:eastAsia="Calibri" w:hAnsiTheme="minorHAnsi" w:cstheme="minorHAnsi"/>
                <w:szCs w:val="24"/>
              </w:rPr>
            </w:pPr>
          </w:p>
        </w:tc>
      </w:tr>
      <w:tr w:rsidR="00555C0D" w:rsidRPr="00E52299" w:rsidTr="00E7625F">
        <w:tc>
          <w:tcPr>
            <w:tcW w:w="988" w:type="dxa"/>
          </w:tcPr>
          <w:p w:rsidR="00555C0D" w:rsidRPr="00AD24FA" w:rsidRDefault="00555C0D" w:rsidP="00AD24FA">
            <w:pPr>
              <w:spacing w:line="240" w:lineRule="auto"/>
              <w:rPr>
                <w:rFonts w:asciiTheme="minorHAnsi" w:hAnsiTheme="minorHAnsi" w:cstheme="minorHAnsi"/>
                <w:b/>
                <w:szCs w:val="24"/>
              </w:rPr>
            </w:pPr>
            <w:r w:rsidRPr="00AD24FA">
              <w:rPr>
                <w:rFonts w:asciiTheme="minorHAnsi" w:hAnsiTheme="minorHAnsi" w:cstheme="minorHAnsi"/>
                <w:b/>
                <w:szCs w:val="24"/>
              </w:rPr>
              <w:t xml:space="preserve">Art. 29 </w:t>
            </w:r>
          </w:p>
        </w:tc>
        <w:tc>
          <w:tcPr>
            <w:tcW w:w="5953" w:type="dxa"/>
          </w:tcPr>
          <w:p w:rsidR="00555C0D" w:rsidRPr="00AD24FA" w:rsidRDefault="00555C0D" w:rsidP="00AD24FA">
            <w:pPr>
              <w:pStyle w:val="sti-art"/>
              <w:shd w:val="clear" w:color="auto" w:fill="FFFFFF"/>
              <w:spacing w:before="60" w:beforeAutospacing="0" w:after="120" w:afterAutospacing="0"/>
              <w:jc w:val="center"/>
              <w:rPr>
                <w:rFonts w:asciiTheme="minorHAnsi" w:hAnsiTheme="minorHAnsi" w:cstheme="minorHAnsi"/>
                <w:b/>
                <w:bCs/>
                <w:color w:val="444444"/>
              </w:rPr>
            </w:pPr>
            <w:r w:rsidRPr="00AD24FA">
              <w:rPr>
                <w:rFonts w:asciiTheme="minorHAnsi" w:hAnsiTheme="minorHAnsi" w:cstheme="minorHAnsi"/>
                <w:b/>
                <w:bCs/>
                <w:color w:val="444444"/>
              </w:rPr>
              <w:t>Adresaci</w:t>
            </w:r>
          </w:p>
          <w:p w:rsidR="00555C0D" w:rsidRPr="00AD24FA" w:rsidRDefault="00555C0D" w:rsidP="00AD24FA">
            <w:pPr>
              <w:pStyle w:val="Normalny1"/>
              <w:shd w:val="clear" w:color="auto" w:fill="FFFFFF"/>
              <w:spacing w:before="120" w:beforeAutospacing="0" w:after="0" w:afterAutospacing="0"/>
              <w:jc w:val="both"/>
              <w:rPr>
                <w:rFonts w:asciiTheme="minorHAnsi" w:hAnsiTheme="minorHAnsi" w:cstheme="minorHAnsi"/>
                <w:color w:val="444444"/>
              </w:rPr>
            </w:pPr>
            <w:r w:rsidRPr="00AD24FA">
              <w:rPr>
                <w:rFonts w:asciiTheme="minorHAnsi" w:hAnsiTheme="minorHAnsi" w:cstheme="minorHAnsi"/>
                <w:color w:val="444444"/>
              </w:rPr>
              <w:t>Niniejsza dyrektywa skierowana jest do państw członkowskich</w:t>
            </w:r>
          </w:p>
          <w:p w:rsidR="00555C0D" w:rsidRPr="00AD24FA" w:rsidRDefault="00555C0D" w:rsidP="00AD24FA">
            <w:pPr>
              <w:widowControl/>
              <w:shd w:val="clear" w:color="auto" w:fill="FFFFFF"/>
              <w:autoSpaceDE/>
              <w:autoSpaceDN/>
              <w:adjustRightInd/>
              <w:spacing w:before="60" w:after="120" w:line="240" w:lineRule="auto"/>
              <w:jc w:val="center"/>
              <w:rPr>
                <w:rFonts w:asciiTheme="minorHAnsi" w:hAnsiTheme="minorHAnsi" w:cstheme="minorHAnsi"/>
                <w:color w:val="444444"/>
                <w:szCs w:val="24"/>
                <w:shd w:val="clear" w:color="auto" w:fill="FFFFFF"/>
              </w:rPr>
            </w:pPr>
          </w:p>
        </w:tc>
        <w:tc>
          <w:tcPr>
            <w:tcW w:w="851" w:type="dxa"/>
          </w:tcPr>
          <w:p w:rsidR="00555C0D" w:rsidRPr="00AD24FA" w:rsidRDefault="00D91CA0" w:rsidP="00CA1984">
            <w:pPr>
              <w:spacing w:line="240" w:lineRule="auto"/>
              <w:jc w:val="center"/>
              <w:rPr>
                <w:rFonts w:asciiTheme="minorHAnsi" w:hAnsiTheme="minorHAnsi" w:cstheme="minorHAnsi"/>
                <w:b/>
                <w:szCs w:val="24"/>
              </w:rPr>
            </w:pPr>
            <w:r>
              <w:rPr>
                <w:rFonts w:asciiTheme="minorHAnsi" w:hAnsiTheme="minorHAnsi" w:cstheme="minorHAnsi"/>
                <w:b/>
                <w:szCs w:val="24"/>
              </w:rPr>
              <w:t>N</w:t>
            </w:r>
          </w:p>
        </w:tc>
        <w:tc>
          <w:tcPr>
            <w:tcW w:w="850" w:type="dxa"/>
          </w:tcPr>
          <w:p w:rsidR="00555C0D" w:rsidRPr="00AD24FA" w:rsidRDefault="00555C0D" w:rsidP="00AD24FA">
            <w:pPr>
              <w:spacing w:line="240" w:lineRule="auto"/>
              <w:rPr>
                <w:rFonts w:asciiTheme="minorHAnsi" w:hAnsiTheme="minorHAnsi" w:cstheme="minorHAnsi"/>
                <w:b/>
                <w:szCs w:val="24"/>
              </w:rPr>
            </w:pPr>
          </w:p>
        </w:tc>
        <w:tc>
          <w:tcPr>
            <w:tcW w:w="3827" w:type="dxa"/>
          </w:tcPr>
          <w:p w:rsidR="00555C0D" w:rsidRPr="00AD24FA" w:rsidRDefault="00555C0D" w:rsidP="00AD24FA">
            <w:pPr>
              <w:spacing w:line="240" w:lineRule="auto"/>
              <w:rPr>
                <w:rFonts w:asciiTheme="minorHAnsi" w:hAnsiTheme="minorHAnsi" w:cstheme="minorHAnsi"/>
                <w:szCs w:val="24"/>
              </w:rPr>
            </w:pPr>
          </w:p>
        </w:tc>
        <w:tc>
          <w:tcPr>
            <w:tcW w:w="3119" w:type="dxa"/>
          </w:tcPr>
          <w:p w:rsidR="00555C0D" w:rsidRPr="00AD24FA" w:rsidRDefault="00555C0D" w:rsidP="00AD24FA">
            <w:pPr>
              <w:spacing w:line="240" w:lineRule="auto"/>
              <w:rPr>
                <w:rFonts w:asciiTheme="minorHAnsi" w:eastAsia="Calibri" w:hAnsiTheme="minorHAnsi" w:cstheme="minorHAnsi"/>
                <w:szCs w:val="24"/>
              </w:rPr>
            </w:pPr>
          </w:p>
        </w:tc>
      </w:tr>
    </w:tbl>
    <w:p w:rsidR="00061477" w:rsidRPr="00E52299" w:rsidRDefault="00061477" w:rsidP="00E52299">
      <w:pPr>
        <w:spacing w:line="240" w:lineRule="auto"/>
        <w:rPr>
          <w:rFonts w:ascii="Calibri" w:hAnsi="Calibri" w:cs="Calibri"/>
          <w:szCs w:val="24"/>
        </w:rPr>
      </w:pPr>
    </w:p>
    <w:sectPr w:rsidR="00061477" w:rsidRPr="00E52299" w:rsidSect="006F1846">
      <w:footerReference w:type="default" r:id="rId9"/>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521" w:rsidRDefault="006F4521" w:rsidP="00720562">
      <w:pPr>
        <w:spacing w:line="240" w:lineRule="auto"/>
      </w:pPr>
      <w:r>
        <w:separator/>
      </w:r>
    </w:p>
  </w:endnote>
  <w:endnote w:type="continuationSeparator" w:id="0">
    <w:p w:rsidR="006F4521" w:rsidRDefault="006F4521" w:rsidP="00720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58441"/>
      <w:docPartObj>
        <w:docPartGallery w:val="Page Numbers (Bottom of Page)"/>
        <w:docPartUnique/>
      </w:docPartObj>
    </w:sdtPr>
    <w:sdtEndPr/>
    <w:sdtContent>
      <w:p w:rsidR="00993F80" w:rsidRDefault="00993F80">
        <w:pPr>
          <w:pStyle w:val="Stopka"/>
          <w:jc w:val="right"/>
        </w:pPr>
        <w:r>
          <w:fldChar w:fldCharType="begin"/>
        </w:r>
        <w:r>
          <w:instrText>PAGE   \* MERGEFORMAT</w:instrText>
        </w:r>
        <w:r>
          <w:fldChar w:fldCharType="separate"/>
        </w:r>
        <w:r>
          <w:rPr>
            <w:noProof/>
          </w:rPr>
          <w:t>1</w:t>
        </w:r>
        <w:r>
          <w:fldChar w:fldCharType="end"/>
        </w:r>
      </w:p>
    </w:sdtContent>
  </w:sdt>
  <w:p w:rsidR="00993F80" w:rsidRDefault="00993F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521" w:rsidRDefault="006F4521" w:rsidP="00720562">
      <w:pPr>
        <w:spacing w:line="240" w:lineRule="auto"/>
      </w:pPr>
      <w:r>
        <w:separator/>
      </w:r>
    </w:p>
  </w:footnote>
  <w:footnote w:type="continuationSeparator" w:id="0">
    <w:p w:rsidR="006F4521" w:rsidRDefault="006F4521" w:rsidP="007205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4B46"/>
    <w:multiLevelType w:val="hybridMultilevel"/>
    <w:tmpl w:val="010C7BE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E522A"/>
    <w:multiLevelType w:val="hybridMultilevel"/>
    <w:tmpl w:val="A5A05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B44DA"/>
    <w:multiLevelType w:val="hybridMultilevel"/>
    <w:tmpl w:val="08E0EDE0"/>
    <w:lvl w:ilvl="0" w:tplc="8E388F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9660F4"/>
    <w:multiLevelType w:val="hybridMultilevel"/>
    <w:tmpl w:val="CCFA0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AB0CBB"/>
    <w:multiLevelType w:val="hybridMultilevel"/>
    <w:tmpl w:val="03C4D548"/>
    <w:lvl w:ilvl="0" w:tplc="9AD4438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D222ED"/>
    <w:multiLevelType w:val="hybridMultilevel"/>
    <w:tmpl w:val="F0360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77"/>
    <w:rsid w:val="0004538B"/>
    <w:rsid w:val="00061477"/>
    <w:rsid w:val="00073648"/>
    <w:rsid w:val="000908EB"/>
    <w:rsid w:val="000C32E7"/>
    <w:rsid w:val="000D0D6C"/>
    <w:rsid w:val="001006E5"/>
    <w:rsid w:val="00141A5E"/>
    <w:rsid w:val="00172BF2"/>
    <w:rsid w:val="00173773"/>
    <w:rsid w:val="00175D7D"/>
    <w:rsid w:val="001917C8"/>
    <w:rsid w:val="00197554"/>
    <w:rsid w:val="001B3422"/>
    <w:rsid w:val="001D6EF0"/>
    <w:rsid w:val="001D79E7"/>
    <w:rsid w:val="001F3B4D"/>
    <w:rsid w:val="0023065C"/>
    <w:rsid w:val="002608E9"/>
    <w:rsid w:val="00285408"/>
    <w:rsid w:val="002A07B4"/>
    <w:rsid w:val="002A485B"/>
    <w:rsid w:val="002B00D9"/>
    <w:rsid w:val="00301BA6"/>
    <w:rsid w:val="003041DD"/>
    <w:rsid w:val="00345076"/>
    <w:rsid w:val="00354263"/>
    <w:rsid w:val="003B606E"/>
    <w:rsid w:val="003F44E7"/>
    <w:rsid w:val="00451853"/>
    <w:rsid w:val="00462DF7"/>
    <w:rsid w:val="00466B81"/>
    <w:rsid w:val="00473052"/>
    <w:rsid w:val="0048582D"/>
    <w:rsid w:val="00496190"/>
    <w:rsid w:val="004E6533"/>
    <w:rsid w:val="004F3022"/>
    <w:rsid w:val="004F4B5B"/>
    <w:rsid w:val="00501B99"/>
    <w:rsid w:val="00504DB1"/>
    <w:rsid w:val="0051704D"/>
    <w:rsid w:val="00521D58"/>
    <w:rsid w:val="00522267"/>
    <w:rsid w:val="005310A0"/>
    <w:rsid w:val="005461F2"/>
    <w:rsid w:val="0055322C"/>
    <w:rsid w:val="00555C0D"/>
    <w:rsid w:val="005A366C"/>
    <w:rsid w:val="0063375A"/>
    <w:rsid w:val="00657C87"/>
    <w:rsid w:val="00663813"/>
    <w:rsid w:val="00667076"/>
    <w:rsid w:val="00684B34"/>
    <w:rsid w:val="006A6365"/>
    <w:rsid w:val="006B4C4F"/>
    <w:rsid w:val="006B695B"/>
    <w:rsid w:val="006F1846"/>
    <w:rsid w:val="006F4521"/>
    <w:rsid w:val="00720562"/>
    <w:rsid w:val="0074683E"/>
    <w:rsid w:val="00750819"/>
    <w:rsid w:val="00784714"/>
    <w:rsid w:val="007C1DBE"/>
    <w:rsid w:val="007D70DB"/>
    <w:rsid w:val="007E2B71"/>
    <w:rsid w:val="00833ED8"/>
    <w:rsid w:val="0086147F"/>
    <w:rsid w:val="00875E11"/>
    <w:rsid w:val="008B0F02"/>
    <w:rsid w:val="008B1190"/>
    <w:rsid w:val="008F2D63"/>
    <w:rsid w:val="009142FF"/>
    <w:rsid w:val="0093071D"/>
    <w:rsid w:val="00950D7A"/>
    <w:rsid w:val="009621A9"/>
    <w:rsid w:val="00993F80"/>
    <w:rsid w:val="009C62C8"/>
    <w:rsid w:val="009D14CE"/>
    <w:rsid w:val="009E6F13"/>
    <w:rsid w:val="00A05171"/>
    <w:rsid w:val="00A60998"/>
    <w:rsid w:val="00A667D6"/>
    <w:rsid w:val="00A81DF1"/>
    <w:rsid w:val="00AD24FA"/>
    <w:rsid w:val="00AD64C1"/>
    <w:rsid w:val="00AE05E9"/>
    <w:rsid w:val="00AE2803"/>
    <w:rsid w:val="00AF2B81"/>
    <w:rsid w:val="00B12994"/>
    <w:rsid w:val="00B36870"/>
    <w:rsid w:val="00B728EE"/>
    <w:rsid w:val="00B9157D"/>
    <w:rsid w:val="00B95111"/>
    <w:rsid w:val="00BB2147"/>
    <w:rsid w:val="00BE1FB3"/>
    <w:rsid w:val="00C01B8A"/>
    <w:rsid w:val="00C04518"/>
    <w:rsid w:val="00C0770A"/>
    <w:rsid w:val="00C14BB8"/>
    <w:rsid w:val="00CA1984"/>
    <w:rsid w:val="00CB6C78"/>
    <w:rsid w:val="00CB6DCE"/>
    <w:rsid w:val="00CC2C4B"/>
    <w:rsid w:val="00CE0632"/>
    <w:rsid w:val="00D5627D"/>
    <w:rsid w:val="00D71038"/>
    <w:rsid w:val="00D91CA0"/>
    <w:rsid w:val="00D93DD2"/>
    <w:rsid w:val="00D97BBA"/>
    <w:rsid w:val="00DB7F97"/>
    <w:rsid w:val="00DE11C5"/>
    <w:rsid w:val="00DE5F0B"/>
    <w:rsid w:val="00E02597"/>
    <w:rsid w:val="00E47A57"/>
    <w:rsid w:val="00E50A77"/>
    <w:rsid w:val="00E52299"/>
    <w:rsid w:val="00E7625F"/>
    <w:rsid w:val="00F00497"/>
    <w:rsid w:val="00F35C8B"/>
    <w:rsid w:val="00F53AD8"/>
    <w:rsid w:val="00F85899"/>
    <w:rsid w:val="00FC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1F33"/>
  <w15:docId w15:val="{C287E8F6-BB73-4E30-BF63-3BD9E339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1190"/>
    <w:pPr>
      <w:widowControl w:val="0"/>
      <w:autoSpaceDE w:val="0"/>
      <w:autoSpaceDN w:val="0"/>
      <w:adjustRightInd w:val="0"/>
      <w:spacing w:line="360" w:lineRule="auto"/>
    </w:pPr>
    <w:rPr>
      <w:rFonts w:ascii="Times New Roman" w:hAnsi="Times New Roman"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8B1190"/>
    <w:pPr>
      <w:ind w:left="1497"/>
    </w:pPr>
  </w:style>
  <w:style w:type="paragraph" w:customStyle="1" w:styleId="ZTIRwPKTzmtirwpktartykuempunktem">
    <w:name w:val="Z/TIR_w_PKT – zm. tir. w pkt artykułem (punktem)"/>
    <w:basedOn w:val="TIRtiret"/>
    <w:uiPriority w:val="33"/>
    <w:qFormat/>
    <w:rsid w:val="008B1190"/>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8B1190"/>
    <w:pPr>
      <w:ind w:left="1021"/>
    </w:pPr>
  </w:style>
  <w:style w:type="paragraph" w:customStyle="1" w:styleId="2TIRpodwjnytiret">
    <w:name w:val="2TIR – podwójny tiret"/>
    <w:basedOn w:val="TIRtiret"/>
    <w:uiPriority w:val="73"/>
    <w:qFormat/>
    <w:rsid w:val="008B1190"/>
    <w:pPr>
      <w:ind w:left="1780"/>
    </w:pPr>
  </w:style>
  <w:style w:type="paragraph" w:customStyle="1" w:styleId="ARTartustawynprozporzdzenia">
    <w:name w:val="ART(§) – art. ustawy (§ np. rozporządzenia)"/>
    <w:uiPriority w:val="11"/>
    <w:qFormat/>
    <w:rsid w:val="008B1190"/>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8B1190"/>
    <w:pPr>
      <w:ind w:left="1497"/>
    </w:pPr>
  </w:style>
  <w:style w:type="paragraph" w:customStyle="1" w:styleId="ZTIRwLITzmtirwlitartykuempunktem">
    <w:name w:val="Z/TIR_w_LIT – zm. tir. w lit. artykułem (punktem)"/>
    <w:basedOn w:val="TIRtiret"/>
    <w:uiPriority w:val="33"/>
    <w:qFormat/>
    <w:rsid w:val="008B119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B1190"/>
  </w:style>
  <w:style w:type="paragraph" w:customStyle="1" w:styleId="ZPKTzmpktartykuempunktem">
    <w:name w:val="Z/PKT – zm. pkt artykułem (punktem)"/>
    <w:basedOn w:val="PKTpunkt"/>
    <w:uiPriority w:val="31"/>
    <w:qFormat/>
    <w:rsid w:val="008B1190"/>
    <w:pPr>
      <w:ind w:left="1020"/>
    </w:pPr>
  </w:style>
  <w:style w:type="paragraph" w:customStyle="1" w:styleId="ZARTzmartartykuempunktem">
    <w:name w:val="Z/ART(§) – zm. art. (§) artykułem (punktem)"/>
    <w:basedOn w:val="ARTartustawynprozporzdzenia"/>
    <w:uiPriority w:val="30"/>
    <w:qFormat/>
    <w:rsid w:val="008B1190"/>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8B1190"/>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8B1190"/>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8B1190"/>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B1190"/>
    <w:rPr>
      <w:bCs/>
    </w:rPr>
  </w:style>
  <w:style w:type="paragraph" w:customStyle="1" w:styleId="OZNRODZAKTUtznustawalubrozporzdzenieiorganwydajcy">
    <w:name w:val="OZN_RODZ_AKTU – tzn. ustawa lub rozporządzenie i organ wydający"/>
    <w:next w:val="DATAAKTUdatauchwalenialubwydaniaaktu"/>
    <w:uiPriority w:val="5"/>
    <w:qFormat/>
    <w:rsid w:val="008B1190"/>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8B1190"/>
    <w:pPr>
      <w:spacing w:before="0"/>
    </w:pPr>
    <w:rPr>
      <w:bCs/>
    </w:rPr>
  </w:style>
  <w:style w:type="paragraph" w:customStyle="1" w:styleId="PKTpunkt">
    <w:name w:val="PKT – punkt"/>
    <w:uiPriority w:val="13"/>
    <w:qFormat/>
    <w:rsid w:val="008B1190"/>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8B1190"/>
    <w:pPr>
      <w:ind w:left="0" w:firstLine="0"/>
    </w:pPr>
  </w:style>
  <w:style w:type="paragraph" w:customStyle="1" w:styleId="LITlitera">
    <w:name w:val="LIT – litera"/>
    <w:basedOn w:val="PKTpunkt"/>
    <w:uiPriority w:val="14"/>
    <w:qFormat/>
    <w:rsid w:val="008B1190"/>
    <w:pPr>
      <w:ind w:left="986" w:hanging="476"/>
    </w:pPr>
  </w:style>
  <w:style w:type="paragraph" w:customStyle="1" w:styleId="CZWSPLITczwsplnaliter">
    <w:name w:val="CZ_WSP_LIT – część wspólna liter"/>
    <w:basedOn w:val="LITlitera"/>
    <w:next w:val="USTustnpkodeksu"/>
    <w:uiPriority w:val="17"/>
    <w:qFormat/>
    <w:rsid w:val="008B1190"/>
    <w:pPr>
      <w:ind w:left="510" w:firstLine="0"/>
    </w:pPr>
    <w:rPr>
      <w:szCs w:val="24"/>
    </w:rPr>
  </w:style>
  <w:style w:type="paragraph" w:customStyle="1" w:styleId="TIRtiret">
    <w:name w:val="TIR – tiret"/>
    <w:basedOn w:val="LITlitera"/>
    <w:uiPriority w:val="15"/>
    <w:qFormat/>
    <w:rsid w:val="008B1190"/>
    <w:pPr>
      <w:ind w:left="1384" w:hanging="397"/>
    </w:pPr>
  </w:style>
  <w:style w:type="paragraph" w:customStyle="1" w:styleId="CZWSPTIRczwsplnatiret">
    <w:name w:val="CZ_WSP_TIR – część wspólna tiret"/>
    <w:basedOn w:val="TIRtiret"/>
    <w:next w:val="USTustnpkodeksu"/>
    <w:uiPriority w:val="17"/>
    <w:qFormat/>
    <w:rsid w:val="008B1190"/>
    <w:pPr>
      <w:ind w:left="987" w:firstLine="0"/>
    </w:pPr>
  </w:style>
  <w:style w:type="paragraph" w:customStyle="1" w:styleId="CYTcytatnpprzysigi">
    <w:name w:val="CYT – cytat np. przysięgi"/>
    <w:basedOn w:val="USTustnpkodeksu"/>
    <w:next w:val="USTustnpkodeksu"/>
    <w:uiPriority w:val="18"/>
    <w:qFormat/>
    <w:rsid w:val="008B119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8B1190"/>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8B1190"/>
  </w:style>
  <w:style w:type="paragraph" w:customStyle="1" w:styleId="ZLITCZWSPTIRwLITzmczciwsptirwlitliter">
    <w:name w:val="Z_LIT/CZ_WSP_TIR_w_LIT – zm. części wsp. tir. w lit. literą"/>
    <w:basedOn w:val="CZWSPTIRczwsplnatiret"/>
    <w:next w:val="LITlitera"/>
    <w:uiPriority w:val="51"/>
    <w:qFormat/>
    <w:rsid w:val="008B1190"/>
    <w:pPr>
      <w:ind w:left="1463"/>
    </w:pPr>
  </w:style>
  <w:style w:type="paragraph" w:customStyle="1" w:styleId="ZLITTIRwLITzmtirwlitliter">
    <w:name w:val="Z_LIT/TIR_w_LIT – zm. tir. w lit. literą"/>
    <w:basedOn w:val="TIRtiret"/>
    <w:uiPriority w:val="49"/>
    <w:qFormat/>
    <w:rsid w:val="008B1190"/>
    <w:pPr>
      <w:ind w:left="1860"/>
    </w:pPr>
  </w:style>
  <w:style w:type="paragraph" w:customStyle="1" w:styleId="TYTDZOZNoznaczenietytuulubdziau">
    <w:name w:val="TYT(DZ)_OZN – oznaczenie tytułu lub działu"/>
    <w:next w:val="Normalny"/>
    <w:uiPriority w:val="9"/>
    <w:qFormat/>
    <w:rsid w:val="008B1190"/>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8B1190"/>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8B119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8B1190"/>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8B119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8B1190"/>
    <w:pPr>
      <w:ind w:left="510"/>
    </w:pPr>
  </w:style>
  <w:style w:type="paragraph" w:customStyle="1" w:styleId="ZZLITzmianazmlit">
    <w:name w:val="ZZ/LIT – zmiana zm. lit."/>
    <w:basedOn w:val="ZZPKTzmianazmpkt"/>
    <w:uiPriority w:val="67"/>
    <w:qFormat/>
    <w:rsid w:val="008B1190"/>
    <w:pPr>
      <w:ind w:left="2370" w:hanging="476"/>
    </w:pPr>
  </w:style>
  <w:style w:type="paragraph" w:customStyle="1" w:styleId="ZZTIRzmianazmtir">
    <w:name w:val="ZZ/TIR – zmiana zm. tir."/>
    <w:basedOn w:val="ZZLITzmianazmlit"/>
    <w:uiPriority w:val="67"/>
    <w:qFormat/>
    <w:rsid w:val="008B119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8B1190"/>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8B1190"/>
    <w:pPr>
      <w:ind w:left="987"/>
    </w:pPr>
  </w:style>
  <w:style w:type="paragraph" w:customStyle="1" w:styleId="ZLITPKTzmpktliter">
    <w:name w:val="Z_LIT/PKT – zm. pkt literą"/>
    <w:basedOn w:val="PKTpunkt"/>
    <w:uiPriority w:val="47"/>
    <w:qFormat/>
    <w:rsid w:val="008B1190"/>
    <w:pPr>
      <w:ind w:left="1497"/>
    </w:pPr>
  </w:style>
  <w:style w:type="paragraph" w:customStyle="1" w:styleId="ZZCZWSPPKTzmianazmczciwsppkt">
    <w:name w:val="ZZ/CZ_WSP_PKT – zmiana. zm. części wsp. pkt"/>
    <w:basedOn w:val="ZZARTzmianazmart"/>
    <w:next w:val="ZPKTzmpktartykuempunktem"/>
    <w:uiPriority w:val="68"/>
    <w:qFormat/>
    <w:rsid w:val="008B1190"/>
    <w:pPr>
      <w:ind w:firstLine="0"/>
    </w:pPr>
  </w:style>
  <w:style w:type="paragraph" w:customStyle="1" w:styleId="ZLITLITzmlitliter">
    <w:name w:val="Z_LIT/LIT – zm. lit. literą"/>
    <w:basedOn w:val="LITlitera"/>
    <w:uiPriority w:val="48"/>
    <w:qFormat/>
    <w:rsid w:val="008B1190"/>
    <w:pPr>
      <w:ind w:left="1463"/>
    </w:pPr>
  </w:style>
  <w:style w:type="paragraph" w:customStyle="1" w:styleId="ZLITCZWSPPKTzmczciwsppktliter">
    <w:name w:val="Z_LIT/CZ_WSP_PKT – zm. części wsp. pkt literą"/>
    <w:basedOn w:val="CZWSPLITczwsplnaliter"/>
    <w:next w:val="LITlitera"/>
    <w:uiPriority w:val="50"/>
    <w:qFormat/>
    <w:rsid w:val="008B1190"/>
    <w:pPr>
      <w:ind w:left="987"/>
    </w:pPr>
  </w:style>
  <w:style w:type="paragraph" w:customStyle="1" w:styleId="ZLITTIRzmtirliter">
    <w:name w:val="Z_LIT/TIR – zm. tir. literą"/>
    <w:basedOn w:val="TIRtiret"/>
    <w:uiPriority w:val="49"/>
    <w:qFormat/>
    <w:rsid w:val="008B1190"/>
  </w:style>
  <w:style w:type="paragraph" w:customStyle="1" w:styleId="ZZCZWSPLITwPKTzmianazmczciwsplitwpkt">
    <w:name w:val="ZZ/CZ_WSP_LIT_w_PKT – zmiana zm. części wsp. lit. w pkt"/>
    <w:basedOn w:val="ZZLITwPKTzmianazmlitwpkt"/>
    <w:uiPriority w:val="69"/>
    <w:qFormat/>
    <w:rsid w:val="008B1190"/>
    <w:pPr>
      <w:ind w:left="2404" w:firstLine="0"/>
    </w:pPr>
  </w:style>
  <w:style w:type="paragraph" w:customStyle="1" w:styleId="ZLITLITwPKTzmlitwpktliter">
    <w:name w:val="Z_LIT/LIT_w_PKT – zm. lit. w pkt literą"/>
    <w:basedOn w:val="LITlitera"/>
    <w:uiPriority w:val="48"/>
    <w:qFormat/>
    <w:rsid w:val="008B1190"/>
    <w:pPr>
      <w:ind w:left="1973"/>
    </w:pPr>
  </w:style>
  <w:style w:type="paragraph" w:customStyle="1" w:styleId="ZLITCZWSPLITwPKTzmczciwsplitwpktliter">
    <w:name w:val="Z_LIT/CZ_WSP_LIT_w_PKT – zm. części wsp. lit. w pkt literą"/>
    <w:basedOn w:val="CZWSPLITczwsplnaliter"/>
    <w:next w:val="LITlitera"/>
    <w:uiPriority w:val="51"/>
    <w:qFormat/>
    <w:rsid w:val="008B1190"/>
    <w:pPr>
      <w:ind w:left="1497"/>
    </w:pPr>
  </w:style>
  <w:style w:type="paragraph" w:customStyle="1" w:styleId="ZLITTIRwPKTzmtirwpktliter">
    <w:name w:val="Z_LIT/TIR_w_PKT – zm. tir. w pkt literą"/>
    <w:basedOn w:val="TIRtiret"/>
    <w:uiPriority w:val="49"/>
    <w:qFormat/>
    <w:rsid w:val="008B1190"/>
    <w:pPr>
      <w:ind w:left="2370"/>
    </w:pPr>
  </w:style>
  <w:style w:type="paragraph" w:customStyle="1" w:styleId="ZLITCZWSPTIRwPKTzmczciwsptirwpktliter">
    <w:name w:val="Z_LIT/CZ_WSP_TIR_w_PKT – zm. części wsp. tir. w pkt literą"/>
    <w:basedOn w:val="CZWSPTIRczwsplnatiret"/>
    <w:next w:val="LITlitera"/>
    <w:uiPriority w:val="51"/>
    <w:qFormat/>
    <w:rsid w:val="008B1190"/>
    <w:pPr>
      <w:ind w:left="1973"/>
    </w:pPr>
  </w:style>
  <w:style w:type="paragraph" w:customStyle="1" w:styleId="ZTIRLITzmlittiret">
    <w:name w:val="Z_TIR/LIT – zm. lit. tiret"/>
    <w:basedOn w:val="LITlitera"/>
    <w:uiPriority w:val="57"/>
    <w:qFormat/>
    <w:rsid w:val="008B1190"/>
    <w:pPr>
      <w:ind w:left="1859"/>
    </w:pPr>
  </w:style>
  <w:style w:type="paragraph" w:customStyle="1" w:styleId="ZTIRCZWSPPKTzmczciwsppkttiret">
    <w:name w:val="Z_TIR/CZ_WSP_PKT – zm. części wsp. pkt tiret"/>
    <w:basedOn w:val="CZWSPLITczwsplnaliter"/>
    <w:next w:val="TIRtiret"/>
    <w:uiPriority w:val="58"/>
    <w:qFormat/>
    <w:rsid w:val="008B1190"/>
    <w:pPr>
      <w:ind w:left="1383"/>
    </w:pPr>
  </w:style>
  <w:style w:type="paragraph" w:customStyle="1" w:styleId="ZTIRTIRzmtirtiret">
    <w:name w:val="Z_TIR/TIR – zm. tir. tiret"/>
    <w:basedOn w:val="TIRtiret"/>
    <w:uiPriority w:val="57"/>
    <w:qFormat/>
    <w:rsid w:val="008B1190"/>
    <w:pPr>
      <w:ind w:left="1780"/>
    </w:pPr>
  </w:style>
  <w:style w:type="paragraph" w:customStyle="1" w:styleId="ZZCZWSPTIRwPKTzmianazmczciwsptirwpkt">
    <w:name w:val="ZZ/CZ_WSP_TIR_w_PKT – zmiana zm. części wsp. tir. w pkt"/>
    <w:basedOn w:val="ZZTIRwPKTzmianazmtirwpkt"/>
    <w:uiPriority w:val="70"/>
    <w:qFormat/>
    <w:rsid w:val="008B1190"/>
    <w:pPr>
      <w:ind w:left="2880" w:firstLine="0"/>
    </w:pPr>
  </w:style>
  <w:style w:type="paragraph" w:customStyle="1" w:styleId="ZZTIRwLITzmianazmtirwlit">
    <w:name w:val="ZZ/TIR_w_LIT – zmiana zm. tir. w lit."/>
    <w:basedOn w:val="ZZTIRzmianazmtir"/>
    <w:uiPriority w:val="67"/>
    <w:qFormat/>
    <w:rsid w:val="008B1190"/>
    <w:pPr>
      <w:ind w:left="2767"/>
    </w:pPr>
  </w:style>
  <w:style w:type="paragraph" w:customStyle="1" w:styleId="ZTIRTIRwLITzmtirwlittiret">
    <w:name w:val="Z_TIR/TIR_w_LIT – zm. tir. w lit. tiret"/>
    <w:basedOn w:val="TIRtiret"/>
    <w:uiPriority w:val="57"/>
    <w:qFormat/>
    <w:rsid w:val="008B1190"/>
    <w:pPr>
      <w:ind w:left="2257"/>
    </w:pPr>
  </w:style>
  <w:style w:type="paragraph" w:customStyle="1" w:styleId="ZTIRCZWSPTIRwLITzmczciwsptirwlittiret">
    <w:name w:val="Z_TIR/CZ_WSP_TIR_w_LIT – zm. części wsp. tir. w lit. tiret"/>
    <w:basedOn w:val="CZWSPTIRczwsplnatiret"/>
    <w:next w:val="TIRtiret"/>
    <w:uiPriority w:val="60"/>
    <w:qFormat/>
    <w:rsid w:val="008B1190"/>
    <w:pPr>
      <w:ind w:left="1860"/>
    </w:pPr>
  </w:style>
  <w:style w:type="paragraph" w:customStyle="1" w:styleId="CZWSP2TIRczwsplnapodwjnychtiret">
    <w:name w:val="CZ_WSP_2TIR – część wspólna podwójnych tiret"/>
    <w:basedOn w:val="CZWSPTIRczwsplnatiret"/>
    <w:next w:val="TIRtiret"/>
    <w:uiPriority w:val="73"/>
    <w:qFormat/>
    <w:rsid w:val="008B1190"/>
    <w:pPr>
      <w:ind w:left="1780"/>
    </w:pPr>
  </w:style>
  <w:style w:type="paragraph" w:customStyle="1" w:styleId="Z2TIRzmpodwtirartykuempunktem">
    <w:name w:val="Z/2TIR – zm. podw. tir. artykułem (punktem)"/>
    <w:basedOn w:val="TIRtiret"/>
    <w:uiPriority w:val="73"/>
    <w:qFormat/>
    <w:rsid w:val="008B1190"/>
    <w:pPr>
      <w:ind w:left="907"/>
    </w:pPr>
  </w:style>
  <w:style w:type="paragraph" w:customStyle="1" w:styleId="ZZCZWSPTIRwLITzmianazmczciwsptirwlit">
    <w:name w:val="ZZ/CZ_WSP_TIR_w_LIT – zmiana zm. części wsp. tir. w lit."/>
    <w:basedOn w:val="ZZTIRwLITzmianazmtirwlit"/>
    <w:uiPriority w:val="70"/>
    <w:qFormat/>
    <w:rsid w:val="008B1190"/>
    <w:pPr>
      <w:ind w:left="2370" w:firstLine="0"/>
    </w:pPr>
  </w:style>
  <w:style w:type="paragraph" w:customStyle="1" w:styleId="ZLIT2TIRzmpodwtirliter">
    <w:name w:val="Z_LIT/2TIR – zm. podw. tir. literą"/>
    <w:basedOn w:val="TIRtiret"/>
    <w:uiPriority w:val="75"/>
    <w:qFormat/>
    <w:rsid w:val="008B1190"/>
  </w:style>
  <w:style w:type="paragraph" w:customStyle="1" w:styleId="ZTIR2TIRzmpodwtirtiret">
    <w:name w:val="Z_TIR/2TIR – zm. podw. tir. tiret"/>
    <w:basedOn w:val="TIRtiret"/>
    <w:uiPriority w:val="78"/>
    <w:qFormat/>
    <w:rsid w:val="008B119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8B1190"/>
    <w:pPr>
      <w:ind w:left="1780"/>
    </w:pPr>
  </w:style>
  <w:style w:type="paragraph" w:customStyle="1" w:styleId="Z2TIRwPKTzmpodwtirwpktartykuempunktem">
    <w:name w:val="Z/2TIR_w_PKT – zm. podw. tir. w pkt artykułem (punktem)"/>
    <w:basedOn w:val="TIRtiret"/>
    <w:next w:val="ZPKTzmpktartykuempunktem"/>
    <w:uiPriority w:val="74"/>
    <w:qFormat/>
    <w:rsid w:val="008B1190"/>
    <w:pPr>
      <w:ind w:left="2291"/>
    </w:pPr>
  </w:style>
  <w:style w:type="paragraph" w:customStyle="1" w:styleId="ZTIRPKTzmpkttiret">
    <w:name w:val="Z_TIR/PKT – zm. pkt tiret"/>
    <w:basedOn w:val="PKTpunkt"/>
    <w:uiPriority w:val="56"/>
    <w:qFormat/>
    <w:rsid w:val="008B1190"/>
    <w:pPr>
      <w:ind w:left="1893"/>
    </w:pPr>
  </w:style>
  <w:style w:type="paragraph" w:customStyle="1" w:styleId="ZTIRLITwPKTzmlitwpkttiret">
    <w:name w:val="Z_TIR/LIT_w_PKT – zm. lit. w pkt tiret"/>
    <w:basedOn w:val="LITlitera"/>
    <w:uiPriority w:val="57"/>
    <w:qFormat/>
    <w:rsid w:val="008B1190"/>
    <w:pPr>
      <w:ind w:left="2336"/>
    </w:pPr>
  </w:style>
  <w:style w:type="paragraph" w:customStyle="1" w:styleId="ZTIRCZWSPLITwPKTzmczciwsplitwpkttiret">
    <w:name w:val="Z_TIR/CZ_WSP_LIT_w_PKT – zm. części wsp. lit. w pkt tiret"/>
    <w:basedOn w:val="CZWSPLITczwsplnaliter"/>
    <w:uiPriority w:val="59"/>
    <w:qFormat/>
    <w:rsid w:val="008B1190"/>
    <w:pPr>
      <w:ind w:left="1860"/>
    </w:pPr>
  </w:style>
  <w:style w:type="paragraph" w:customStyle="1" w:styleId="ZTIR2TIRwLITzmpodwtirwlittiret">
    <w:name w:val="Z_TIR/2TIR_w_LIT – zm. podw. tir. w lit. tiret"/>
    <w:basedOn w:val="TIRtiret"/>
    <w:uiPriority w:val="79"/>
    <w:qFormat/>
    <w:rsid w:val="008B119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8B1190"/>
    <w:pPr>
      <w:ind w:left="2257"/>
    </w:pPr>
  </w:style>
  <w:style w:type="paragraph" w:customStyle="1" w:styleId="ZTIR2TIRwTIRzmpodwtirwtirtiret">
    <w:name w:val="Z_TIR/2TIR_w_TIR – zm. podw. tir. w tir. tiret"/>
    <w:basedOn w:val="TIRtiret"/>
    <w:uiPriority w:val="78"/>
    <w:qFormat/>
    <w:rsid w:val="008B1190"/>
    <w:pPr>
      <w:ind w:left="2177"/>
    </w:pPr>
  </w:style>
  <w:style w:type="paragraph" w:customStyle="1" w:styleId="ZTIRCZWSP2TIRwTIRzmczciwsppodwtirwtirtiret">
    <w:name w:val="Z_TIR/CZ_WSP_2TIR_w_TIR – zm. części wsp. podw. tir. w tir. tiret"/>
    <w:basedOn w:val="CZWSPTIRczwsplnatiret"/>
    <w:uiPriority w:val="79"/>
    <w:qFormat/>
    <w:rsid w:val="008B1190"/>
    <w:pPr>
      <w:ind w:left="1780"/>
    </w:pPr>
  </w:style>
  <w:style w:type="paragraph" w:customStyle="1" w:styleId="Z2TIRLITzmlitpodwjnymtiret">
    <w:name w:val="Z_2TIR/LIT – zm. lit. podwójnym tiret"/>
    <w:basedOn w:val="LITlitera"/>
    <w:uiPriority w:val="84"/>
    <w:qFormat/>
    <w:rsid w:val="008B1190"/>
    <w:pPr>
      <w:ind w:left="2256"/>
    </w:pPr>
  </w:style>
  <w:style w:type="paragraph" w:customStyle="1" w:styleId="ZZ2TIRwTIRzmianazmpodwtirwtir">
    <w:name w:val="ZZ/2TIR_w_TIR – zmiana zm. podw. tir. w tir."/>
    <w:basedOn w:val="ZZCZWSP2TIRzmianazmczciwsppodwtir"/>
    <w:uiPriority w:val="93"/>
    <w:qFormat/>
    <w:rsid w:val="008B1190"/>
    <w:pPr>
      <w:ind w:left="2688" w:hanging="397"/>
    </w:pPr>
  </w:style>
  <w:style w:type="paragraph" w:customStyle="1" w:styleId="ZZ2TIRwLITzmianazmpodwtirwlit">
    <w:name w:val="ZZ/2TIR_w_LIT – zmiana zm. podw. tir. w lit."/>
    <w:basedOn w:val="ZZ2TIRwTIRzmianazmpodwtirwtir"/>
    <w:uiPriority w:val="94"/>
    <w:qFormat/>
    <w:rsid w:val="008B1190"/>
    <w:pPr>
      <w:ind w:left="3164"/>
    </w:pPr>
  </w:style>
  <w:style w:type="paragraph" w:customStyle="1" w:styleId="Z2TIRTIRwLITzmtirwlitpodwjnymtiret">
    <w:name w:val="Z_2TIR/TIR_w_LIT – zm. tir. w lit. podwójnym tiret"/>
    <w:basedOn w:val="TIRtiret"/>
    <w:uiPriority w:val="84"/>
    <w:qFormat/>
    <w:rsid w:val="008B119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8B1190"/>
    <w:pPr>
      <w:ind w:left="2257"/>
    </w:pPr>
  </w:style>
  <w:style w:type="paragraph" w:customStyle="1" w:styleId="ZZ2TIRwPKTzmianazmpodwtirwpkt">
    <w:name w:val="ZZ/2TIR_w_PKT – zmiana zm. podw. tir. w pkt"/>
    <w:basedOn w:val="ZZ2TIRwLITzmianazmpodwtirwlit"/>
    <w:uiPriority w:val="94"/>
    <w:qFormat/>
    <w:rsid w:val="008B1190"/>
    <w:pPr>
      <w:ind w:left="3674"/>
    </w:pPr>
  </w:style>
  <w:style w:type="paragraph" w:customStyle="1" w:styleId="ZZCZWSP2TIRwTIRzmianazmczciwsppodwtirwtir">
    <w:name w:val="ZZ/CZ_WSP_2TIR_w_TIR – zmiana zm. części wsp. podw. tir. w tir."/>
    <w:basedOn w:val="ZZ2TIRwLITzmianazmpodwtirwlit"/>
    <w:uiPriority w:val="94"/>
    <w:qFormat/>
    <w:rsid w:val="008B1190"/>
    <w:pPr>
      <w:ind w:left="2291" w:firstLine="0"/>
    </w:pPr>
  </w:style>
  <w:style w:type="paragraph" w:customStyle="1" w:styleId="Z2TIR2TIRwTIRzmpodwtirwtirpodwjnymtiret">
    <w:name w:val="Z_2TIR/2TIR_w_TIR – zm. podw. tir. w tir. podwójnym tiret"/>
    <w:basedOn w:val="TIRtiret"/>
    <w:uiPriority w:val="85"/>
    <w:qFormat/>
    <w:rsid w:val="008B119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8B1190"/>
    <w:pPr>
      <w:ind w:left="2177"/>
    </w:pPr>
  </w:style>
  <w:style w:type="paragraph" w:customStyle="1" w:styleId="Z2TIR2TIRwLITzmpodwtirwlitpodwjnymtiret">
    <w:name w:val="Z_2TIR/2TIR_w_LIT – zm. podw. tir. w lit. podwójnym tiret"/>
    <w:basedOn w:val="TIRtiret"/>
    <w:uiPriority w:val="86"/>
    <w:qFormat/>
    <w:rsid w:val="008B119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8B119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8B1190"/>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8B1190"/>
    <w:pPr>
      <w:spacing w:after="120"/>
      <w:ind w:left="510"/>
    </w:pPr>
    <w:rPr>
      <w:b w:val="0"/>
    </w:rPr>
  </w:style>
  <w:style w:type="paragraph" w:customStyle="1" w:styleId="ZZARTzmianazmart">
    <w:name w:val="ZZ/ART(§) – zmiana zm. art. (§)"/>
    <w:basedOn w:val="ZARTzmartartykuempunktem"/>
    <w:uiPriority w:val="65"/>
    <w:qFormat/>
    <w:rsid w:val="008B1190"/>
    <w:pPr>
      <w:ind w:left="1894"/>
    </w:pPr>
  </w:style>
  <w:style w:type="paragraph" w:customStyle="1" w:styleId="ZZPKTzmianazmpkt">
    <w:name w:val="ZZ/PKT – zmiana zm. pkt"/>
    <w:basedOn w:val="ZPKTzmpktartykuempunktem"/>
    <w:uiPriority w:val="66"/>
    <w:qFormat/>
    <w:rsid w:val="008B1190"/>
    <w:pPr>
      <w:ind w:left="2404"/>
    </w:pPr>
  </w:style>
  <w:style w:type="paragraph" w:customStyle="1" w:styleId="ZZLITwPKTzmianazmlitwpkt">
    <w:name w:val="ZZ/LIT_w_PKT – zmiana zm. lit. w pkt"/>
    <w:basedOn w:val="ZLITwPKTzmlitwpktartykuempunktem"/>
    <w:uiPriority w:val="67"/>
    <w:qFormat/>
    <w:rsid w:val="008B1190"/>
    <w:pPr>
      <w:ind w:left="2880"/>
    </w:pPr>
  </w:style>
  <w:style w:type="paragraph" w:customStyle="1" w:styleId="ZZTIRwPKTzmianazmtirwpkt">
    <w:name w:val="ZZ/TIR_w_PKT – zmiana zm. tir. w pkt"/>
    <w:basedOn w:val="ZTIRwPKTzmtirwpktartykuempunktem"/>
    <w:uiPriority w:val="67"/>
    <w:qFormat/>
    <w:rsid w:val="008B1190"/>
    <w:pPr>
      <w:ind w:left="3277"/>
    </w:pPr>
  </w:style>
  <w:style w:type="paragraph" w:customStyle="1" w:styleId="ZZWMATFIZCHEMzmwzorumatfizlubchem">
    <w:name w:val="ZZ/W_MAT(FIZ|CHEM) – zm. wzoru mat. (fiz. lub chem.)"/>
    <w:basedOn w:val="ZWMATFIZCHEMzmwzorumatfizlubchemartykuempunktem"/>
    <w:uiPriority w:val="71"/>
    <w:qFormat/>
    <w:rsid w:val="008B1190"/>
    <w:pPr>
      <w:ind w:left="2404"/>
    </w:pPr>
  </w:style>
  <w:style w:type="paragraph" w:customStyle="1" w:styleId="ODNONIKtreodnonika">
    <w:name w:val="ODNOŚNIK – treść odnośnika"/>
    <w:uiPriority w:val="24"/>
    <w:qFormat/>
    <w:rsid w:val="008B1190"/>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8B119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8B119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8B1190"/>
    <w:rPr>
      <w:rFonts w:ascii="Times New Roman" w:hAnsi="Times New Roman"/>
    </w:rPr>
  </w:style>
  <w:style w:type="paragraph" w:customStyle="1" w:styleId="ZTIRTIRwPKTzmtirwpkttiret">
    <w:name w:val="Z_TIR/TIR_w_PKT – zm. tir. w pkt tiret"/>
    <w:basedOn w:val="ZTIRTIRwLITzmtirwlittiret"/>
    <w:uiPriority w:val="57"/>
    <w:qFormat/>
    <w:rsid w:val="008B1190"/>
    <w:pPr>
      <w:ind w:left="2733"/>
    </w:pPr>
  </w:style>
  <w:style w:type="paragraph" w:customStyle="1" w:styleId="ZTIRCZWSPTIRwPKTzmczciwsptirtiret">
    <w:name w:val="Z_TIR/CZ_WSP_TIR_w_PKT – zm. części wsp. tir. tiret"/>
    <w:basedOn w:val="ZTIRTIRwPKTzmtirwpkttiret"/>
    <w:next w:val="TIRtiret"/>
    <w:uiPriority w:val="60"/>
    <w:qFormat/>
    <w:rsid w:val="008B119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8B1190"/>
    <w:pPr>
      <w:ind w:left="510" w:firstLine="0"/>
    </w:pPr>
  </w:style>
  <w:style w:type="paragraph" w:customStyle="1" w:styleId="ROZDZODDZOZNoznaczenierozdziauluboddziau">
    <w:name w:val="ROZDZ(ODDZ)_OZN – oznaczenie rozdziału lub oddziału"/>
    <w:next w:val="ARTartustawynprozporzdzenia"/>
    <w:uiPriority w:val="10"/>
    <w:qFormat/>
    <w:rsid w:val="008B1190"/>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8B1190"/>
    <w:pPr>
      <w:ind w:left="2177"/>
    </w:pPr>
  </w:style>
  <w:style w:type="paragraph" w:customStyle="1" w:styleId="Z2TIRTIRzmtirpodwjnymtiret">
    <w:name w:val="Z_2TIR/TIR – zm. tir. podwójnym tiret"/>
    <w:basedOn w:val="TIRtiret"/>
    <w:uiPriority w:val="84"/>
    <w:qFormat/>
    <w:rsid w:val="008B119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8B1190"/>
    <w:pPr>
      <w:ind w:left="1021"/>
    </w:pPr>
  </w:style>
  <w:style w:type="paragraph" w:customStyle="1" w:styleId="ZLITSKARNzmsankcjikarnejliter">
    <w:name w:val="Z_LIT/S_KARN – zm. sankcji karnej literą"/>
    <w:basedOn w:val="ZSKARNzmsankcjikarnejwszczeglnociwKodeksiekarnym"/>
    <w:uiPriority w:val="53"/>
    <w:qFormat/>
    <w:rsid w:val="008B119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8B1190"/>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8B1190"/>
    <w:pPr>
      <w:ind w:left="1894" w:firstLine="0"/>
    </w:pPr>
  </w:style>
  <w:style w:type="paragraph" w:customStyle="1" w:styleId="Z2TIRwLITzmpodwtirwlitartykuempunktem">
    <w:name w:val="Z/2TIR_w_LIT – zm. podw. tir. w lit. artykułem (punktem)"/>
    <w:basedOn w:val="Z2TIRwPKTzmpodwtirwpktartykuempunktem"/>
    <w:uiPriority w:val="74"/>
    <w:qFormat/>
    <w:rsid w:val="008B1190"/>
    <w:pPr>
      <w:ind w:left="1780"/>
    </w:pPr>
  </w:style>
  <w:style w:type="paragraph" w:customStyle="1" w:styleId="Z2TIRwTIRzmpodwtirwtirartykuempunktem">
    <w:name w:val="Z/2TIR_w_TIR – zm. podw. tir. w tir. artykułem (punktem)"/>
    <w:basedOn w:val="Z2TIRwLITzmpodwtirwlitartykuempunktem"/>
    <w:uiPriority w:val="73"/>
    <w:qFormat/>
    <w:rsid w:val="008B119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8B119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8B1190"/>
    <w:pPr>
      <w:ind w:left="1383" w:firstLine="0"/>
    </w:pPr>
  </w:style>
  <w:style w:type="paragraph" w:customStyle="1" w:styleId="ZZCZWSP2TIRzmianazmczciwsppodwtir">
    <w:name w:val="ZZ/CZ_WSP_2TIR – zmiana zm. części wsp. podw. tir."/>
    <w:basedOn w:val="ZZTIRzmianazmtir"/>
    <w:next w:val="ZZUSTzmianazmust"/>
    <w:uiPriority w:val="94"/>
    <w:qFormat/>
    <w:rsid w:val="008B1190"/>
    <w:pPr>
      <w:ind w:left="1894" w:firstLine="0"/>
    </w:pPr>
  </w:style>
  <w:style w:type="paragraph" w:customStyle="1" w:styleId="PKTODNONIKApunktodnonika">
    <w:name w:val="PKT_ODNOŚNIKA – punkt odnośnika"/>
    <w:basedOn w:val="ODNONIKtreodnonika"/>
    <w:uiPriority w:val="19"/>
    <w:qFormat/>
    <w:rsid w:val="008B1190"/>
    <w:pPr>
      <w:ind w:left="568"/>
    </w:pPr>
  </w:style>
  <w:style w:type="paragraph" w:customStyle="1" w:styleId="ZODNONIKAzmtekstuodnonikaartykuempunktem">
    <w:name w:val="Z/ODNOŚNIKA – zm. tekstu odnośnika artykułem (punktem)"/>
    <w:basedOn w:val="ODNONIKtreodnonika"/>
    <w:uiPriority w:val="39"/>
    <w:qFormat/>
    <w:rsid w:val="008B119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B1190"/>
    <w:pPr>
      <w:ind w:left="1304"/>
    </w:pPr>
  </w:style>
  <w:style w:type="paragraph" w:customStyle="1" w:styleId="ZPKTODNONIKAzmpktodnonikaartykuempunktem">
    <w:name w:val="Z/PKT_ODNOŚNIKA – zm. pkt odnośnika artykułem (punktem)"/>
    <w:basedOn w:val="ZODNONIKAzmtekstuodnonikaartykuempunktem"/>
    <w:uiPriority w:val="39"/>
    <w:qFormat/>
    <w:rsid w:val="008B1190"/>
  </w:style>
  <w:style w:type="paragraph" w:customStyle="1" w:styleId="ZLIT2TIRwTIRzmpodwtirwtirliter">
    <w:name w:val="Z_LIT/2TIR_w_TIR – zm. podw. tir. w tir. literą"/>
    <w:basedOn w:val="ZLIT2TIRzmpodwtirliter"/>
    <w:uiPriority w:val="75"/>
    <w:qFormat/>
    <w:rsid w:val="008B1190"/>
    <w:pPr>
      <w:ind w:left="1780"/>
    </w:pPr>
  </w:style>
  <w:style w:type="paragraph" w:customStyle="1" w:styleId="ZLIT2TIRwLITzmpodwtirwlitliter">
    <w:name w:val="Z_LIT/2TIR_w_LIT – zm. podw. tir. w lit. literą"/>
    <w:basedOn w:val="ZLIT2TIRwTIRzmpodwtirwtirliter"/>
    <w:uiPriority w:val="76"/>
    <w:qFormat/>
    <w:rsid w:val="008B1190"/>
    <w:pPr>
      <w:ind w:left="2257"/>
    </w:pPr>
  </w:style>
  <w:style w:type="paragraph" w:customStyle="1" w:styleId="ZLIT2TIRwPKTzmpodwtirwpktliter">
    <w:name w:val="Z_LIT/2TIR_w_PKT – zm. podw. tir. w pkt literą"/>
    <w:basedOn w:val="ZLIT2TIRwLITzmpodwtirwlitliter"/>
    <w:uiPriority w:val="76"/>
    <w:qFormat/>
    <w:rsid w:val="008B119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8B119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8B119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8B1190"/>
    <w:pPr>
      <w:ind w:left="2370" w:firstLine="0"/>
    </w:pPr>
  </w:style>
  <w:style w:type="paragraph" w:customStyle="1" w:styleId="ZTIR2TIRwPKTzmpodwtirwpkttiret">
    <w:name w:val="Z_TIR/2TIR_w_PKT – zm. podw. tir. w pkt tiret"/>
    <w:basedOn w:val="ZTIR2TIRwLITzmpodwtirwlittiret"/>
    <w:uiPriority w:val="79"/>
    <w:qFormat/>
    <w:rsid w:val="008B119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8B119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8B1190"/>
    <w:pPr>
      <w:ind w:left="2767"/>
    </w:pPr>
  </w:style>
  <w:style w:type="paragraph" w:customStyle="1" w:styleId="ZZCZWSP2TIRwPKTzmianazmczciwsppodwtirwpkt">
    <w:name w:val="ZZ/CZ_WSP_2TIR_w_PKT – zmiana zm. części wsp. podw. tir. w pkt"/>
    <w:basedOn w:val="ZZ2TIRwLITzmianazmpodwtirwlit"/>
    <w:uiPriority w:val="95"/>
    <w:qFormat/>
    <w:rsid w:val="008B119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8B1190"/>
  </w:style>
  <w:style w:type="paragraph" w:customStyle="1" w:styleId="ZLITCZWSP2TIRzmczciwsppodwtirliter">
    <w:name w:val="Z_LIT/CZ_WSP_2TIR – zm. części wsp. podw. tir. literą"/>
    <w:basedOn w:val="ZLITCZWSPPKTzmczciwsppktliter"/>
    <w:next w:val="LITlitera"/>
    <w:uiPriority w:val="76"/>
    <w:qFormat/>
    <w:rsid w:val="008B1190"/>
  </w:style>
  <w:style w:type="paragraph" w:customStyle="1" w:styleId="ZTIRCZWSP2TIRzmczciwsppodwtirtiret">
    <w:name w:val="Z_TIR/CZ_WSP_2TIR – zm. części wsp. podw. tir. tiret"/>
    <w:basedOn w:val="ZLITCZWSP2TIRzmczciwsppodwtirliter"/>
    <w:next w:val="TIRtiret"/>
    <w:uiPriority w:val="79"/>
    <w:qFormat/>
    <w:rsid w:val="008B1190"/>
  </w:style>
  <w:style w:type="paragraph" w:customStyle="1" w:styleId="ZZ2TIRzmianazmpodwtir">
    <w:name w:val="ZZ/2TIR – zmiana zm. podw. tir."/>
    <w:basedOn w:val="ZZCZWSP2TIRzmianazmczciwsppodwtir"/>
    <w:uiPriority w:val="93"/>
    <w:qFormat/>
    <w:rsid w:val="008B119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8B1190"/>
  </w:style>
  <w:style w:type="paragraph" w:customStyle="1" w:styleId="ZCZWSPTIRzmczciwsptirartykuempunktem">
    <w:name w:val="Z/CZ_WSP_TIR – zm. części wsp. tir. artykułem (punktem)"/>
    <w:basedOn w:val="ZCZWSPPKTzmczciwsppktartykuempunktem"/>
    <w:next w:val="PKTpunkt"/>
    <w:uiPriority w:val="35"/>
    <w:qFormat/>
    <w:rsid w:val="008B1190"/>
  </w:style>
  <w:style w:type="paragraph" w:customStyle="1" w:styleId="ZLITCZWSPLITzmczciwsplitliter">
    <w:name w:val="Z_LIT/CZ_WSP_LIT – zm. części wsp. lit. literą"/>
    <w:basedOn w:val="ZLITCZWSPPKTzmczciwsppktliter"/>
    <w:next w:val="LITlitera"/>
    <w:uiPriority w:val="51"/>
    <w:qFormat/>
    <w:rsid w:val="008B1190"/>
  </w:style>
  <w:style w:type="paragraph" w:customStyle="1" w:styleId="ZLITCZWSPTIRzmczciwsptirliter">
    <w:name w:val="Z_LIT/CZ_WSP_TIR – zm. części wsp. tir. literą"/>
    <w:basedOn w:val="ZLITCZWSPPKTzmczciwsppktliter"/>
    <w:next w:val="LITlitera"/>
    <w:uiPriority w:val="51"/>
    <w:qFormat/>
    <w:rsid w:val="008B1190"/>
  </w:style>
  <w:style w:type="paragraph" w:customStyle="1" w:styleId="ZTIRCZWSPLITzmczciwsplittiret">
    <w:name w:val="Z_TIR/CZ_WSP_LIT – zm. części wsp. lit. tiret"/>
    <w:basedOn w:val="ZTIRCZWSPPKTzmczciwsppkttiret"/>
    <w:next w:val="TIRtiret"/>
    <w:uiPriority w:val="59"/>
    <w:qFormat/>
    <w:rsid w:val="008B1190"/>
  </w:style>
  <w:style w:type="paragraph" w:customStyle="1" w:styleId="ZTIRCZWSPTIRzmczciwsptirtiret">
    <w:name w:val="Z_TIR/CZ_WSP_TIR – zm. części wsp. tir. tiret"/>
    <w:basedOn w:val="ZTIRCZWSPPKTzmczciwsppkttiret"/>
    <w:next w:val="TIRtiret"/>
    <w:uiPriority w:val="60"/>
    <w:qFormat/>
    <w:rsid w:val="008B1190"/>
  </w:style>
  <w:style w:type="paragraph" w:customStyle="1" w:styleId="ZZCZWSPLITzmianazmczciwsplit">
    <w:name w:val="ZZ/CZ_WSP_LIT – zmiana. zm. części wsp. lit."/>
    <w:basedOn w:val="ZZCZWSPPKTzmianazmczciwsppkt"/>
    <w:uiPriority w:val="69"/>
    <w:qFormat/>
    <w:rsid w:val="008B1190"/>
  </w:style>
  <w:style w:type="paragraph" w:customStyle="1" w:styleId="ZZCZWSPTIRzmianazmczciwsptir">
    <w:name w:val="ZZ/CZ_WSP_TIR – zmiana. zm. części wsp. tir."/>
    <w:basedOn w:val="ZZCZWSPPKTzmianazmczciwsppkt"/>
    <w:uiPriority w:val="69"/>
    <w:qFormat/>
    <w:rsid w:val="008B1190"/>
  </w:style>
  <w:style w:type="paragraph" w:customStyle="1" w:styleId="Z2TIRCZWSPTIRzmczciwsptirpodwjnymtiret">
    <w:name w:val="Z_2TIR/CZ_WSP_TIR – zm. części wsp. tir. podwójnym tiret"/>
    <w:basedOn w:val="Z2TIRCZWSPLITzmczciwsplitpodwjnymtiret"/>
    <w:next w:val="2TIRpodwjnytiret"/>
    <w:uiPriority w:val="87"/>
    <w:qFormat/>
    <w:rsid w:val="008B119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8B1190"/>
  </w:style>
  <w:style w:type="paragraph" w:customStyle="1" w:styleId="ZUSTzmustartykuempunktem">
    <w:name w:val="Z/UST(§) – zm. ust. (§) artykułem (punktem)"/>
    <w:basedOn w:val="ZARTzmartartykuempunktem"/>
    <w:uiPriority w:val="30"/>
    <w:qFormat/>
    <w:rsid w:val="008B1190"/>
  </w:style>
  <w:style w:type="paragraph" w:customStyle="1" w:styleId="ZZUSTzmianazmust">
    <w:name w:val="ZZ/UST(§) – zmiana zm. ust. (§)"/>
    <w:basedOn w:val="ZZARTzmianazmart"/>
    <w:uiPriority w:val="65"/>
    <w:qFormat/>
    <w:rsid w:val="008B1190"/>
  </w:style>
  <w:style w:type="paragraph" w:customStyle="1" w:styleId="TYTDZPRZEDMprzedmiotregulacjitytuulubdziau">
    <w:name w:val="TYT(DZ)_PRZEDM – przedmiot regulacji tytułu lub działu"/>
    <w:next w:val="ARTartustawynprozporzdzenia"/>
    <w:uiPriority w:val="9"/>
    <w:qFormat/>
    <w:rsid w:val="008B1190"/>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8B119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8B119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8B119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8B119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B119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B1190"/>
    <w:pPr>
      <w:ind w:left="1894"/>
    </w:pPr>
  </w:style>
  <w:style w:type="paragraph" w:customStyle="1" w:styleId="P1wTABELIpoziom1numeracjiwtabeli">
    <w:name w:val="P1_w_TABELI – poziom 1 numeracji w tabeli"/>
    <w:basedOn w:val="PKTpunkt"/>
    <w:uiPriority w:val="24"/>
    <w:qFormat/>
    <w:rsid w:val="008B119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8B1190"/>
    <w:pPr>
      <w:ind w:left="0" w:firstLine="0"/>
    </w:pPr>
  </w:style>
  <w:style w:type="paragraph" w:customStyle="1" w:styleId="P2wTABELIpoziom2numeracjiwtabeli">
    <w:name w:val="P2_w_TABELI – poziom 2 numeracji w tabeli"/>
    <w:basedOn w:val="P1wTABELIpoziom1numeracjiwtabeli"/>
    <w:uiPriority w:val="24"/>
    <w:qFormat/>
    <w:rsid w:val="008B1190"/>
    <w:pPr>
      <w:ind w:left="794"/>
    </w:pPr>
  </w:style>
  <w:style w:type="paragraph" w:customStyle="1" w:styleId="P3wTABELIpoziom3numeracjiwtabeli">
    <w:name w:val="P3_w_TABELI – poziom 3 numeracji w tabeli"/>
    <w:basedOn w:val="P2wTABELIpoziom2numeracjiwtabeli"/>
    <w:uiPriority w:val="24"/>
    <w:qFormat/>
    <w:rsid w:val="008B119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8B119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8B119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8B1190"/>
    <w:pPr>
      <w:ind w:left="1191"/>
    </w:pPr>
  </w:style>
  <w:style w:type="paragraph" w:customStyle="1" w:styleId="P4wTABELIpoziom4numeracjiwtabeli">
    <w:name w:val="P4_w_TABELI – poziom 4 numeracji w tabeli"/>
    <w:basedOn w:val="P3wTABELIpoziom3numeracjiwtabeli"/>
    <w:uiPriority w:val="24"/>
    <w:qFormat/>
    <w:rsid w:val="008B1190"/>
    <w:pPr>
      <w:ind w:left="1588"/>
    </w:pPr>
  </w:style>
  <w:style w:type="paragraph" w:customStyle="1" w:styleId="TYTTABELItytutabeli">
    <w:name w:val="TYT_TABELI – tytuł tabeli"/>
    <w:basedOn w:val="TYTDZOZNoznaczenietytuulubdziau"/>
    <w:uiPriority w:val="22"/>
    <w:qFormat/>
    <w:rsid w:val="008B1190"/>
    <w:rPr>
      <w:b/>
    </w:rPr>
  </w:style>
  <w:style w:type="paragraph" w:customStyle="1" w:styleId="OZNPROJEKTUwskazaniedatylubwersjiprojektu">
    <w:name w:val="OZN_PROJEKTU – wskazanie daty lub wersji projektu"/>
    <w:next w:val="OZNRODZAKTUtznustawalubrozporzdzenieiorganwydajcy"/>
    <w:uiPriority w:val="5"/>
    <w:qFormat/>
    <w:rsid w:val="008B1190"/>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8B119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B1190"/>
    <w:pPr>
      <w:ind w:left="0" w:right="4820"/>
      <w:jc w:val="left"/>
    </w:pPr>
  </w:style>
  <w:style w:type="paragraph" w:customStyle="1" w:styleId="TEKSTwporozumieniu">
    <w:name w:val="TEKST&quot;w porozumieniu:&quot;"/>
    <w:next w:val="NAZORGWPOROZUMIENIUnazwaorganuwporozumieniuzktrymaktjestwydawany"/>
    <w:uiPriority w:val="27"/>
    <w:qFormat/>
    <w:rsid w:val="008B1190"/>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8B119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B1190"/>
    <w:pPr>
      <w:ind w:left="510" w:firstLine="0"/>
    </w:pPr>
  </w:style>
  <w:style w:type="paragraph" w:customStyle="1" w:styleId="NOTATKILEGISLATORA">
    <w:name w:val="NOTATKI_LEGISLATORA"/>
    <w:basedOn w:val="Normalny"/>
    <w:uiPriority w:val="5"/>
    <w:qFormat/>
    <w:rsid w:val="008B1190"/>
    <w:rPr>
      <w:b/>
      <w:i/>
    </w:rPr>
  </w:style>
  <w:style w:type="paragraph" w:customStyle="1" w:styleId="OZNZACZNIKAwskazanienrzacznika">
    <w:name w:val="OZN_ZAŁĄCZNIKA – wskazanie nr załącznika"/>
    <w:basedOn w:val="OZNPROJEKTUwskazaniedatylubwersjiprojektu"/>
    <w:uiPriority w:val="28"/>
    <w:qFormat/>
    <w:rsid w:val="008B1190"/>
    <w:pPr>
      <w:keepNext/>
    </w:pPr>
    <w:rPr>
      <w:b/>
      <w:u w:val="none"/>
    </w:rPr>
  </w:style>
  <w:style w:type="paragraph" w:customStyle="1" w:styleId="OZNPARAFYADNOTACJE">
    <w:name w:val="OZN_PARAFY(ADNOTACJE)"/>
    <w:basedOn w:val="ODNONIKtreodnonika"/>
    <w:uiPriority w:val="26"/>
    <w:qFormat/>
    <w:rsid w:val="008B1190"/>
  </w:style>
  <w:style w:type="paragraph" w:customStyle="1" w:styleId="TEKSTZacznikido">
    <w:name w:val="TEKST&quot;Załącznik(i) do ...&quot;"/>
    <w:uiPriority w:val="28"/>
    <w:qFormat/>
    <w:rsid w:val="008B1190"/>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8B1190"/>
    <w:pPr>
      <w:ind w:left="851"/>
    </w:pPr>
  </w:style>
  <w:style w:type="paragraph" w:customStyle="1" w:styleId="CZWSPLITODNONIKAczwspliterodnonika">
    <w:name w:val="CZ_WSP_LIT_ODNOŚNIKA – część wsp. liter odnośnika"/>
    <w:basedOn w:val="LITODNONIKAliteraodnonika"/>
    <w:uiPriority w:val="22"/>
    <w:qFormat/>
    <w:rsid w:val="008B1190"/>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8B1190"/>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8B1190"/>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8B1190"/>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8B119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8B1190"/>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8B1190"/>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8B1190"/>
  </w:style>
  <w:style w:type="paragraph" w:customStyle="1" w:styleId="ZLITwPKTODNONIKAzmlitwpktodnonikaartykuempunktem">
    <w:name w:val="Z/LIT_w_PKT_ODNOŚNIKA – zm. lit. w pkt odnośnika artykułem (punktem)"/>
    <w:basedOn w:val="ZLITODNONIKAzmlitodnonikaartykuempunktem"/>
    <w:uiPriority w:val="40"/>
    <w:qFormat/>
    <w:rsid w:val="008B119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B119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B119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B119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B119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B119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8B1190"/>
  </w:style>
  <w:style w:type="paragraph" w:customStyle="1" w:styleId="ZZFRAGzmianazmfragmentunpzdania">
    <w:name w:val="ZZ/FRAG – zmiana zm. fragmentu (np. zdania)"/>
    <w:basedOn w:val="ZZCZWSPPKTzmianazmczciwsppkt"/>
    <w:uiPriority w:val="70"/>
    <w:qFormat/>
    <w:rsid w:val="008B1190"/>
  </w:style>
  <w:style w:type="paragraph" w:customStyle="1" w:styleId="Z2TIRPKTzmpktpodwjnymtiret">
    <w:name w:val="Z_2TIR/PKT – zm. pkt podwójnym tiret"/>
    <w:basedOn w:val="Z2TIRLITzmlitpodwjnymtiret"/>
    <w:uiPriority w:val="83"/>
    <w:qFormat/>
    <w:rsid w:val="008B119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8B119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8B119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8B119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8B1190"/>
    <w:pPr>
      <w:ind w:left="1780" w:firstLine="510"/>
    </w:pPr>
  </w:style>
  <w:style w:type="paragraph" w:customStyle="1" w:styleId="Z2TIRUSTzmustpodwjnymtiret">
    <w:name w:val="Z_2TIR/UST(§) – zm. ust. (§) podwójnym tiret"/>
    <w:basedOn w:val="Z2TIRPKTzmpktpodwjnymtiret"/>
    <w:uiPriority w:val="82"/>
    <w:qFormat/>
    <w:rsid w:val="008B119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8B1190"/>
    <w:pPr>
      <w:ind w:left="3164" w:firstLine="0"/>
    </w:pPr>
  </w:style>
  <w:style w:type="paragraph" w:customStyle="1" w:styleId="Z2TIRCZWSPPKTzmczciwsppktpodwjnymtiret">
    <w:name w:val="Z_2TIR/CZ_WSP_PKT – zm. części wsp. pkt podwójnym tiret"/>
    <w:basedOn w:val="Z2TIRPKTzmpktpodwjnymtiret"/>
    <w:uiPriority w:val="86"/>
    <w:qFormat/>
    <w:rsid w:val="008B119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8B119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8B1190"/>
    <w:pPr>
      <w:ind w:left="2767" w:firstLine="0"/>
    </w:pPr>
  </w:style>
  <w:style w:type="paragraph" w:customStyle="1" w:styleId="ZLITARTzmartliter">
    <w:name w:val="Z_LIT/ART(§) – zm. art. (§) literą"/>
    <w:basedOn w:val="ZLITUSTzmustliter"/>
    <w:uiPriority w:val="46"/>
    <w:qFormat/>
    <w:rsid w:val="008B1190"/>
    <w:rPr>
      <w:rFonts w:ascii="Times New Roman" w:hAnsi="Times New Roman"/>
    </w:rPr>
  </w:style>
  <w:style w:type="paragraph" w:customStyle="1" w:styleId="ZTIRARTzmarttiret">
    <w:name w:val="Z_TIR/ART(§) – zm. art. (§) tiret"/>
    <w:basedOn w:val="ZTIRPKTzmpkttiret"/>
    <w:uiPriority w:val="55"/>
    <w:qFormat/>
    <w:rsid w:val="008B1190"/>
    <w:pPr>
      <w:ind w:left="1383" w:firstLine="510"/>
    </w:pPr>
    <w:rPr>
      <w:rFonts w:ascii="Times New Roman" w:hAnsi="Times New Roman"/>
    </w:rPr>
  </w:style>
  <w:style w:type="paragraph" w:customStyle="1" w:styleId="ZTIRUSTzmusttiret">
    <w:name w:val="Z_TIR/UST(§) – zm. ust. (§) tiret"/>
    <w:basedOn w:val="ZTIRARTzmarttiret"/>
    <w:uiPriority w:val="55"/>
    <w:qFormat/>
    <w:rsid w:val="008B1190"/>
  </w:style>
  <w:style w:type="paragraph" w:customStyle="1" w:styleId="ZLITKSIGIzmozniprzedmksigiliter">
    <w:name w:val="Z_LIT/KSIĘGI – zm. ozn. i przedm. księgi literą"/>
    <w:basedOn w:val="ZCZCIKSIGIzmozniprzedmczciksigiartykuempunktem"/>
    <w:uiPriority w:val="44"/>
    <w:qFormat/>
    <w:rsid w:val="008B119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B119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8B119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B119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B1190"/>
    <w:pPr>
      <w:ind w:left="987"/>
    </w:pPr>
  </w:style>
  <w:style w:type="paragraph" w:customStyle="1" w:styleId="ZTIRDZOZNzmozndziautiret">
    <w:name w:val="Z_TIR/DZ_OZN – zm. ozn. działu tiret"/>
    <w:basedOn w:val="ZLITTYTDZOZNzmozntytuudziauliter"/>
    <w:next w:val="ZTIRDZPRZEDMzmprzedmdziautiret"/>
    <w:uiPriority w:val="54"/>
    <w:qFormat/>
    <w:rsid w:val="008B1190"/>
    <w:pPr>
      <w:ind w:left="1383"/>
    </w:pPr>
  </w:style>
  <w:style w:type="paragraph" w:customStyle="1" w:styleId="ZTIRDZPRZEDMzmprzedmdziautiret">
    <w:name w:val="Z_TIR/DZ_PRZEDM – zm. przedm. działu tiret"/>
    <w:basedOn w:val="ZLITTYTDZPRZEDMzmprzedmtytuudziauliter"/>
    <w:uiPriority w:val="54"/>
    <w:qFormat/>
    <w:rsid w:val="008B119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B1190"/>
    <w:pPr>
      <w:ind w:left="1383"/>
    </w:pPr>
  </w:style>
  <w:style w:type="paragraph" w:customStyle="1" w:styleId="ZTIRROZDZODDZPRZEDMzmprzedmrozdzoddztiret">
    <w:name w:val="Z_TIR/ROZDZ(ODDZ)_PRZEDM – zm. przedm. rozdz. (oddz.) tiret"/>
    <w:basedOn w:val="ZLITROZDZODDZPRZEDMzmprzedmrozdzoddzliter"/>
    <w:uiPriority w:val="54"/>
    <w:qFormat/>
    <w:rsid w:val="008B119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B119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B1190"/>
    <w:pPr>
      <w:ind w:left="1780"/>
    </w:pPr>
  </w:style>
  <w:style w:type="character" w:customStyle="1" w:styleId="IGindeksgrny">
    <w:name w:val="_IG_ – indeks górny"/>
    <w:uiPriority w:val="2"/>
    <w:qFormat/>
    <w:rsid w:val="008B1190"/>
    <w:rPr>
      <w:b w:val="0"/>
      <w:i w:val="0"/>
      <w:vanish w:val="0"/>
      <w:spacing w:val="0"/>
      <w:vertAlign w:val="superscript"/>
    </w:rPr>
  </w:style>
  <w:style w:type="character" w:customStyle="1" w:styleId="IDindeksdolny">
    <w:name w:val="_ID_ – indeks dolny"/>
    <w:uiPriority w:val="3"/>
    <w:qFormat/>
    <w:rsid w:val="008B1190"/>
    <w:rPr>
      <w:b w:val="0"/>
      <w:i w:val="0"/>
      <w:vanish w:val="0"/>
      <w:spacing w:val="0"/>
      <w:vertAlign w:val="subscript"/>
    </w:rPr>
  </w:style>
  <w:style w:type="character" w:customStyle="1" w:styleId="IDPindeksdolnyipogrubienie">
    <w:name w:val="_ID_P_ – indeks dolny i pogrubienie"/>
    <w:uiPriority w:val="3"/>
    <w:qFormat/>
    <w:rsid w:val="008B1190"/>
    <w:rPr>
      <w:b/>
      <w:vanish w:val="0"/>
      <w:spacing w:val="0"/>
      <w:vertAlign w:val="subscript"/>
    </w:rPr>
  </w:style>
  <w:style w:type="character" w:customStyle="1" w:styleId="IDKindeksdolnyikursywa">
    <w:name w:val="_ID_K_ – indeks dolny i kursywa"/>
    <w:uiPriority w:val="3"/>
    <w:qFormat/>
    <w:rsid w:val="008B1190"/>
    <w:rPr>
      <w:i/>
      <w:vanish w:val="0"/>
      <w:spacing w:val="0"/>
      <w:vertAlign w:val="subscript"/>
    </w:rPr>
  </w:style>
  <w:style w:type="character" w:customStyle="1" w:styleId="IGPindeksgrnyipogrubienie">
    <w:name w:val="_IG_P_ – indeks górny i pogrubienie"/>
    <w:uiPriority w:val="2"/>
    <w:qFormat/>
    <w:rsid w:val="008B1190"/>
    <w:rPr>
      <w:b/>
      <w:vanish w:val="0"/>
      <w:spacing w:val="0"/>
      <w:vertAlign w:val="superscript"/>
    </w:rPr>
  </w:style>
  <w:style w:type="character" w:customStyle="1" w:styleId="IGKindeksgrnyikursywa">
    <w:name w:val="_IG_K_ – indeks górny i kursywa"/>
    <w:uiPriority w:val="2"/>
    <w:qFormat/>
    <w:rsid w:val="008B1190"/>
    <w:rPr>
      <w:i/>
      <w:vanish w:val="0"/>
      <w:spacing w:val="0"/>
      <w:vertAlign w:val="superscript"/>
    </w:rPr>
  </w:style>
  <w:style w:type="character" w:customStyle="1" w:styleId="IGPKindeksgrnyipogrubieniekursywa">
    <w:name w:val="_IG_P_K_ – indeks górny i pogrubienie kursywa"/>
    <w:uiPriority w:val="2"/>
    <w:qFormat/>
    <w:rsid w:val="008B1190"/>
    <w:rPr>
      <w:b/>
      <w:i/>
      <w:vanish w:val="0"/>
      <w:spacing w:val="0"/>
      <w:vertAlign w:val="superscript"/>
    </w:rPr>
  </w:style>
  <w:style w:type="character" w:customStyle="1" w:styleId="IDPKindeksdolnyipogrugieniekursywa">
    <w:name w:val="_ID_P_K_ – indeks dolny i pogrugienie kursywa"/>
    <w:uiPriority w:val="3"/>
    <w:qFormat/>
    <w:rsid w:val="008B1190"/>
    <w:rPr>
      <w:b/>
      <w:i/>
      <w:vanish w:val="0"/>
      <w:spacing w:val="0"/>
      <w:vertAlign w:val="subscript"/>
    </w:rPr>
  </w:style>
  <w:style w:type="character" w:customStyle="1" w:styleId="Ppogrubienie">
    <w:name w:val="_P_ – pogrubienie"/>
    <w:qFormat/>
    <w:rsid w:val="008B1190"/>
    <w:rPr>
      <w:b/>
    </w:rPr>
  </w:style>
  <w:style w:type="character" w:customStyle="1" w:styleId="Kkursywa">
    <w:name w:val="_K_ – kursywa"/>
    <w:uiPriority w:val="1"/>
    <w:qFormat/>
    <w:rsid w:val="008B1190"/>
    <w:rPr>
      <w:i/>
    </w:rPr>
  </w:style>
  <w:style w:type="character" w:customStyle="1" w:styleId="PKpogrubieniekursywa">
    <w:name w:val="_P_K_ – pogrubienie kursywa"/>
    <w:uiPriority w:val="1"/>
    <w:qFormat/>
    <w:rsid w:val="008B1190"/>
    <w:rPr>
      <w:b/>
      <w:i/>
    </w:rPr>
  </w:style>
  <w:style w:type="character" w:customStyle="1" w:styleId="TEKSTOZNACZONYWDOKUMENCIERDOWYMJAKOUKRYTY">
    <w:name w:val="_TEKST_OZNACZONY_W_DOKUMENCIE_ŹRÓDŁOWYM_JAKO_UKRYTY_"/>
    <w:uiPriority w:val="4"/>
    <w:unhideWhenUsed/>
    <w:qFormat/>
    <w:rsid w:val="008B1190"/>
    <w:rPr>
      <w:vanish w:val="0"/>
      <w:color w:val="FF0000"/>
      <w:u w:val="single" w:color="FF0000"/>
    </w:rPr>
  </w:style>
  <w:style w:type="character" w:customStyle="1" w:styleId="BEZWERSALIKW">
    <w:name w:val="_BEZ_WERSALIKÓW_"/>
    <w:uiPriority w:val="4"/>
    <w:qFormat/>
    <w:rsid w:val="008B1190"/>
    <w:rPr>
      <w:caps/>
    </w:rPr>
  </w:style>
  <w:style w:type="character" w:customStyle="1" w:styleId="IIGPindeksgrnyindeksugrnegoipogrubienie">
    <w:name w:val="_IIG_P_ – indeks górny indeksu górnego i pogrubienie"/>
    <w:uiPriority w:val="3"/>
    <w:qFormat/>
    <w:rsid w:val="008B1190"/>
    <w:rPr>
      <w:b/>
      <w:vanish w:val="0"/>
      <w:spacing w:val="0"/>
      <w:position w:val="6"/>
      <w:vertAlign w:val="superscript"/>
    </w:rPr>
  </w:style>
  <w:style w:type="character" w:customStyle="1" w:styleId="IIGindeksgrnyindeksugrnego">
    <w:name w:val="_IIG_ – indeks górny indeksu górnego"/>
    <w:uiPriority w:val="3"/>
    <w:qFormat/>
    <w:rsid w:val="008B119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8B1190"/>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8B1190"/>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8B1190"/>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8B1190"/>
    <w:pPr>
      <w:ind w:left="1894"/>
    </w:pPr>
  </w:style>
  <w:style w:type="paragraph" w:customStyle="1" w:styleId="ZZSKARNzmianazmsankcjikarnej">
    <w:name w:val="ZZ/S_KARN – zmiana zm. sankcji karnej"/>
    <w:basedOn w:val="ZZFRAGzmianazmfragmentunpzdania"/>
    <w:uiPriority w:val="71"/>
    <w:qFormat/>
    <w:rsid w:val="008B119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8B1190"/>
    <w:pPr>
      <w:ind w:left="2291" w:firstLine="0"/>
    </w:pPr>
  </w:style>
  <w:style w:type="paragraph" w:customStyle="1" w:styleId="WMATFIZCHEMwzrmatfizlubchem">
    <w:name w:val="W_MAT(FIZ|CHEM) – wzór mat. (fiz. lub chem.)"/>
    <w:uiPriority w:val="18"/>
    <w:qFormat/>
    <w:rsid w:val="008B1190"/>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8B119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B119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8B119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B119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8B119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8B119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B119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8B119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B1190"/>
    <w:pPr>
      <w:ind w:left="3085"/>
    </w:pPr>
  </w:style>
  <w:style w:type="paragraph" w:customStyle="1" w:styleId="ZLITCYTzmcytatunpprzysigiliter">
    <w:name w:val="Z_LIT/CYT – zm. cytatu np. przysięgi literą"/>
    <w:basedOn w:val="ZCYTzmcytatunpprzysigiartykuempunktem"/>
    <w:uiPriority w:val="53"/>
    <w:qFormat/>
    <w:rsid w:val="008B1190"/>
    <w:pPr>
      <w:ind w:left="1497"/>
    </w:pPr>
  </w:style>
  <w:style w:type="paragraph" w:customStyle="1" w:styleId="ZTIRCYTzmcytatunpprzysigitiret">
    <w:name w:val="Z_TIR/CYT – zm. cytatu np. przysięgi tiret"/>
    <w:basedOn w:val="ZLITCYTzmcytatunpprzysigiliter"/>
    <w:next w:val="ZTIRUSTzmusttiret"/>
    <w:uiPriority w:val="61"/>
    <w:qFormat/>
    <w:rsid w:val="008B119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8B1190"/>
    <w:pPr>
      <w:ind w:left="2291"/>
    </w:pPr>
  </w:style>
  <w:style w:type="paragraph" w:customStyle="1" w:styleId="ZZCYTzmianazmcytatunpprzysigi">
    <w:name w:val="ZZ/CYT – zmiana zm. cytatu np. przysięgi"/>
    <w:basedOn w:val="ZZFRAGzmianazmfragmentunpzdania"/>
    <w:next w:val="ZZUSTzmianazmust"/>
    <w:uiPriority w:val="71"/>
    <w:qFormat/>
    <w:rsid w:val="008B119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8B1190"/>
    <w:pPr>
      <w:ind w:left="1780"/>
    </w:pPr>
  </w:style>
  <w:style w:type="paragraph" w:styleId="Bezodstpw">
    <w:name w:val="No Spacing"/>
    <w:uiPriority w:val="1"/>
    <w:qFormat/>
    <w:rsid w:val="008B1190"/>
    <w:pPr>
      <w:widowControl w:val="0"/>
      <w:suppressAutoHyphens/>
      <w:spacing w:line="360" w:lineRule="auto"/>
    </w:pPr>
    <w:rPr>
      <w:kern w:val="1"/>
      <w:sz w:val="24"/>
      <w:szCs w:val="24"/>
      <w:lang w:eastAsia="ar-SA"/>
    </w:rPr>
  </w:style>
  <w:style w:type="paragraph" w:styleId="Akapitzlist">
    <w:name w:val="List Paragraph"/>
    <w:basedOn w:val="Normalny"/>
    <w:uiPriority w:val="34"/>
    <w:qFormat/>
    <w:rsid w:val="008B119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ela-Siatka">
    <w:name w:val="Table Grid"/>
    <w:basedOn w:val="Standardowy"/>
    <w:uiPriority w:val="59"/>
    <w:rsid w:val="00061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05171"/>
    <w:rPr>
      <w:i/>
      <w:iCs/>
    </w:rPr>
  </w:style>
  <w:style w:type="paragraph" w:styleId="Tekstprzypisukocowego">
    <w:name w:val="endnote text"/>
    <w:basedOn w:val="Normalny"/>
    <w:link w:val="TekstprzypisukocowegoZnak"/>
    <w:uiPriority w:val="99"/>
    <w:semiHidden/>
    <w:unhideWhenUsed/>
    <w:rsid w:val="0072056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20562"/>
    <w:rPr>
      <w:rFonts w:ascii="Times New Roman" w:hAnsi="Times New Roman" w:cs="Arial"/>
    </w:rPr>
  </w:style>
  <w:style w:type="character" w:styleId="Odwoanieprzypisukocowego">
    <w:name w:val="endnote reference"/>
    <w:basedOn w:val="Domylnaczcionkaakapitu"/>
    <w:uiPriority w:val="99"/>
    <w:semiHidden/>
    <w:unhideWhenUsed/>
    <w:rsid w:val="00720562"/>
    <w:rPr>
      <w:vertAlign w:val="superscript"/>
    </w:rPr>
  </w:style>
  <w:style w:type="paragraph" w:styleId="Nagwek">
    <w:name w:val="header"/>
    <w:basedOn w:val="Normalny"/>
    <w:link w:val="NagwekZnak"/>
    <w:uiPriority w:val="99"/>
    <w:unhideWhenUsed/>
    <w:rsid w:val="000D0D6C"/>
    <w:pPr>
      <w:tabs>
        <w:tab w:val="center" w:pos="4536"/>
        <w:tab w:val="right" w:pos="9072"/>
      </w:tabs>
      <w:spacing w:line="240" w:lineRule="auto"/>
    </w:pPr>
  </w:style>
  <w:style w:type="character" w:customStyle="1" w:styleId="NagwekZnak">
    <w:name w:val="Nagłówek Znak"/>
    <w:basedOn w:val="Domylnaczcionkaakapitu"/>
    <w:link w:val="Nagwek"/>
    <w:uiPriority w:val="99"/>
    <w:rsid w:val="000D0D6C"/>
    <w:rPr>
      <w:rFonts w:ascii="Times New Roman" w:hAnsi="Times New Roman" w:cs="Arial"/>
      <w:sz w:val="24"/>
    </w:rPr>
  </w:style>
  <w:style w:type="paragraph" w:styleId="Stopka">
    <w:name w:val="footer"/>
    <w:basedOn w:val="Normalny"/>
    <w:link w:val="StopkaZnak"/>
    <w:uiPriority w:val="99"/>
    <w:unhideWhenUsed/>
    <w:rsid w:val="000D0D6C"/>
    <w:pPr>
      <w:tabs>
        <w:tab w:val="center" w:pos="4536"/>
        <w:tab w:val="right" w:pos="9072"/>
      </w:tabs>
      <w:spacing w:line="240" w:lineRule="auto"/>
    </w:pPr>
  </w:style>
  <w:style w:type="character" w:customStyle="1" w:styleId="StopkaZnak">
    <w:name w:val="Stopka Znak"/>
    <w:basedOn w:val="Domylnaczcionkaakapitu"/>
    <w:link w:val="Stopka"/>
    <w:uiPriority w:val="99"/>
    <w:rsid w:val="000D0D6C"/>
    <w:rPr>
      <w:rFonts w:ascii="Times New Roman" w:hAnsi="Times New Roman" w:cs="Arial"/>
      <w:sz w:val="24"/>
    </w:rPr>
  </w:style>
  <w:style w:type="paragraph" w:customStyle="1" w:styleId="sti-art">
    <w:name w:val="sti-art"/>
    <w:basedOn w:val="Normalny"/>
    <w:rsid w:val="008F2D63"/>
    <w:pPr>
      <w:widowControl/>
      <w:autoSpaceDE/>
      <w:autoSpaceDN/>
      <w:adjustRightInd/>
      <w:spacing w:before="100" w:beforeAutospacing="1" w:after="100" w:afterAutospacing="1" w:line="240" w:lineRule="auto"/>
    </w:pPr>
    <w:rPr>
      <w:rFonts w:cs="Times New Roman"/>
      <w:szCs w:val="24"/>
      <w:lang w:eastAsia="pl-PL"/>
    </w:rPr>
  </w:style>
  <w:style w:type="paragraph" w:customStyle="1" w:styleId="Normalny1">
    <w:name w:val="Normalny1"/>
    <w:basedOn w:val="Normalny"/>
    <w:rsid w:val="008F2D63"/>
    <w:pPr>
      <w:widowControl/>
      <w:autoSpaceDE/>
      <w:autoSpaceDN/>
      <w:adjustRightInd/>
      <w:spacing w:before="100" w:beforeAutospacing="1" w:after="100" w:afterAutospacing="1" w:line="240" w:lineRule="auto"/>
    </w:pPr>
    <w:rPr>
      <w:rFonts w:cs="Times New Roman"/>
      <w:szCs w:val="24"/>
      <w:lang w:eastAsia="pl-PL"/>
    </w:rPr>
  </w:style>
  <w:style w:type="character" w:styleId="Hipercze">
    <w:name w:val="Hyperlink"/>
    <w:basedOn w:val="Domylnaczcionkaakapitu"/>
    <w:uiPriority w:val="99"/>
    <w:semiHidden/>
    <w:unhideWhenUsed/>
    <w:rsid w:val="00555C0D"/>
    <w:rPr>
      <w:color w:val="0000FF"/>
      <w:u w:val="single"/>
    </w:rPr>
  </w:style>
  <w:style w:type="character" w:customStyle="1" w:styleId="super">
    <w:name w:val="super"/>
    <w:basedOn w:val="Domylnaczcionkaakapitu"/>
    <w:rsid w:val="00555C0D"/>
  </w:style>
  <w:style w:type="character" w:customStyle="1" w:styleId="italic">
    <w:name w:val="italic"/>
    <w:basedOn w:val="Domylnaczcionkaakapitu"/>
    <w:rsid w:val="0055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319">
      <w:bodyDiv w:val="1"/>
      <w:marLeft w:val="0"/>
      <w:marRight w:val="0"/>
      <w:marTop w:val="0"/>
      <w:marBottom w:val="0"/>
      <w:divBdr>
        <w:top w:val="none" w:sz="0" w:space="0" w:color="auto"/>
        <w:left w:val="none" w:sz="0" w:space="0" w:color="auto"/>
        <w:bottom w:val="none" w:sz="0" w:space="0" w:color="auto"/>
        <w:right w:val="none" w:sz="0" w:space="0" w:color="auto"/>
      </w:divBdr>
    </w:div>
    <w:div w:id="75710355">
      <w:bodyDiv w:val="1"/>
      <w:marLeft w:val="0"/>
      <w:marRight w:val="0"/>
      <w:marTop w:val="0"/>
      <w:marBottom w:val="0"/>
      <w:divBdr>
        <w:top w:val="none" w:sz="0" w:space="0" w:color="auto"/>
        <w:left w:val="none" w:sz="0" w:space="0" w:color="auto"/>
        <w:bottom w:val="none" w:sz="0" w:space="0" w:color="auto"/>
        <w:right w:val="none" w:sz="0" w:space="0" w:color="auto"/>
      </w:divBdr>
      <w:divsChild>
        <w:div w:id="998655663">
          <w:marLeft w:val="0"/>
          <w:marRight w:val="0"/>
          <w:marTop w:val="0"/>
          <w:marBottom w:val="0"/>
          <w:divBdr>
            <w:top w:val="none" w:sz="0" w:space="0" w:color="auto"/>
            <w:left w:val="none" w:sz="0" w:space="0" w:color="auto"/>
            <w:bottom w:val="none" w:sz="0" w:space="0" w:color="auto"/>
            <w:right w:val="none" w:sz="0" w:space="0" w:color="auto"/>
          </w:divBdr>
        </w:div>
        <w:div w:id="1242838956">
          <w:marLeft w:val="0"/>
          <w:marRight w:val="0"/>
          <w:marTop w:val="0"/>
          <w:marBottom w:val="0"/>
          <w:divBdr>
            <w:top w:val="none" w:sz="0" w:space="0" w:color="auto"/>
            <w:left w:val="none" w:sz="0" w:space="0" w:color="auto"/>
            <w:bottom w:val="none" w:sz="0" w:space="0" w:color="auto"/>
            <w:right w:val="none" w:sz="0" w:space="0" w:color="auto"/>
          </w:divBdr>
        </w:div>
        <w:div w:id="1628586156">
          <w:marLeft w:val="0"/>
          <w:marRight w:val="0"/>
          <w:marTop w:val="0"/>
          <w:marBottom w:val="0"/>
          <w:divBdr>
            <w:top w:val="none" w:sz="0" w:space="0" w:color="auto"/>
            <w:left w:val="none" w:sz="0" w:space="0" w:color="auto"/>
            <w:bottom w:val="none" w:sz="0" w:space="0" w:color="auto"/>
            <w:right w:val="none" w:sz="0" w:space="0" w:color="auto"/>
          </w:divBdr>
        </w:div>
        <w:div w:id="835533918">
          <w:marLeft w:val="0"/>
          <w:marRight w:val="0"/>
          <w:marTop w:val="0"/>
          <w:marBottom w:val="0"/>
          <w:divBdr>
            <w:top w:val="none" w:sz="0" w:space="0" w:color="auto"/>
            <w:left w:val="none" w:sz="0" w:space="0" w:color="auto"/>
            <w:bottom w:val="none" w:sz="0" w:space="0" w:color="auto"/>
            <w:right w:val="none" w:sz="0" w:space="0" w:color="auto"/>
          </w:divBdr>
        </w:div>
      </w:divsChild>
    </w:div>
    <w:div w:id="127209952">
      <w:bodyDiv w:val="1"/>
      <w:marLeft w:val="0"/>
      <w:marRight w:val="0"/>
      <w:marTop w:val="0"/>
      <w:marBottom w:val="0"/>
      <w:divBdr>
        <w:top w:val="none" w:sz="0" w:space="0" w:color="auto"/>
        <w:left w:val="none" w:sz="0" w:space="0" w:color="auto"/>
        <w:bottom w:val="none" w:sz="0" w:space="0" w:color="auto"/>
        <w:right w:val="none" w:sz="0" w:space="0" w:color="auto"/>
      </w:divBdr>
      <w:divsChild>
        <w:div w:id="859398445">
          <w:marLeft w:val="0"/>
          <w:marRight w:val="0"/>
          <w:marTop w:val="0"/>
          <w:marBottom w:val="0"/>
          <w:divBdr>
            <w:top w:val="none" w:sz="0" w:space="0" w:color="auto"/>
            <w:left w:val="none" w:sz="0" w:space="0" w:color="auto"/>
            <w:bottom w:val="none" w:sz="0" w:space="0" w:color="auto"/>
            <w:right w:val="none" w:sz="0" w:space="0" w:color="auto"/>
          </w:divBdr>
        </w:div>
        <w:div w:id="395857327">
          <w:marLeft w:val="0"/>
          <w:marRight w:val="0"/>
          <w:marTop w:val="0"/>
          <w:marBottom w:val="0"/>
          <w:divBdr>
            <w:top w:val="none" w:sz="0" w:space="0" w:color="auto"/>
            <w:left w:val="none" w:sz="0" w:space="0" w:color="auto"/>
            <w:bottom w:val="none" w:sz="0" w:space="0" w:color="auto"/>
            <w:right w:val="none" w:sz="0" w:space="0" w:color="auto"/>
          </w:divBdr>
        </w:div>
        <w:div w:id="1524202865">
          <w:marLeft w:val="0"/>
          <w:marRight w:val="0"/>
          <w:marTop w:val="0"/>
          <w:marBottom w:val="0"/>
          <w:divBdr>
            <w:top w:val="none" w:sz="0" w:space="0" w:color="auto"/>
            <w:left w:val="none" w:sz="0" w:space="0" w:color="auto"/>
            <w:bottom w:val="none" w:sz="0" w:space="0" w:color="auto"/>
            <w:right w:val="none" w:sz="0" w:space="0" w:color="auto"/>
          </w:divBdr>
        </w:div>
      </w:divsChild>
    </w:div>
    <w:div w:id="162938104">
      <w:bodyDiv w:val="1"/>
      <w:marLeft w:val="0"/>
      <w:marRight w:val="0"/>
      <w:marTop w:val="0"/>
      <w:marBottom w:val="0"/>
      <w:divBdr>
        <w:top w:val="none" w:sz="0" w:space="0" w:color="auto"/>
        <w:left w:val="none" w:sz="0" w:space="0" w:color="auto"/>
        <w:bottom w:val="none" w:sz="0" w:space="0" w:color="auto"/>
        <w:right w:val="none" w:sz="0" w:space="0" w:color="auto"/>
      </w:divBdr>
      <w:divsChild>
        <w:div w:id="418599390">
          <w:marLeft w:val="0"/>
          <w:marRight w:val="0"/>
          <w:marTop w:val="0"/>
          <w:marBottom w:val="0"/>
          <w:divBdr>
            <w:top w:val="none" w:sz="0" w:space="0" w:color="auto"/>
            <w:left w:val="none" w:sz="0" w:space="0" w:color="auto"/>
            <w:bottom w:val="none" w:sz="0" w:space="0" w:color="auto"/>
            <w:right w:val="none" w:sz="0" w:space="0" w:color="auto"/>
          </w:divBdr>
        </w:div>
        <w:div w:id="1651057941">
          <w:marLeft w:val="0"/>
          <w:marRight w:val="0"/>
          <w:marTop w:val="0"/>
          <w:marBottom w:val="0"/>
          <w:divBdr>
            <w:top w:val="none" w:sz="0" w:space="0" w:color="auto"/>
            <w:left w:val="none" w:sz="0" w:space="0" w:color="auto"/>
            <w:bottom w:val="none" w:sz="0" w:space="0" w:color="auto"/>
            <w:right w:val="none" w:sz="0" w:space="0" w:color="auto"/>
          </w:divBdr>
        </w:div>
        <w:div w:id="718557948">
          <w:marLeft w:val="0"/>
          <w:marRight w:val="0"/>
          <w:marTop w:val="0"/>
          <w:marBottom w:val="0"/>
          <w:divBdr>
            <w:top w:val="none" w:sz="0" w:space="0" w:color="auto"/>
            <w:left w:val="none" w:sz="0" w:space="0" w:color="auto"/>
            <w:bottom w:val="none" w:sz="0" w:space="0" w:color="auto"/>
            <w:right w:val="none" w:sz="0" w:space="0" w:color="auto"/>
          </w:divBdr>
        </w:div>
        <w:div w:id="798692554">
          <w:marLeft w:val="0"/>
          <w:marRight w:val="0"/>
          <w:marTop w:val="0"/>
          <w:marBottom w:val="0"/>
          <w:divBdr>
            <w:top w:val="none" w:sz="0" w:space="0" w:color="auto"/>
            <w:left w:val="none" w:sz="0" w:space="0" w:color="auto"/>
            <w:bottom w:val="none" w:sz="0" w:space="0" w:color="auto"/>
            <w:right w:val="none" w:sz="0" w:space="0" w:color="auto"/>
          </w:divBdr>
        </w:div>
      </w:divsChild>
    </w:div>
    <w:div w:id="216824088">
      <w:bodyDiv w:val="1"/>
      <w:marLeft w:val="0"/>
      <w:marRight w:val="0"/>
      <w:marTop w:val="0"/>
      <w:marBottom w:val="0"/>
      <w:divBdr>
        <w:top w:val="none" w:sz="0" w:space="0" w:color="auto"/>
        <w:left w:val="none" w:sz="0" w:space="0" w:color="auto"/>
        <w:bottom w:val="none" w:sz="0" w:space="0" w:color="auto"/>
        <w:right w:val="none" w:sz="0" w:space="0" w:color="auto"/>
      </w:divBdr>
    </w:div>
    <w:div w:id="259072385">
      <w:bodyDiv w:val="1"/>
      <w:marLeft w:val="0"/>
      <w:marRight w:val="0"/>
      <w:marTop w:val="0"/>
      <w:marBottom w:val="0"/>
      <w:divBdr>
        <w:top w:val="none" w:sz="0" w:space="0" w:color="auto"/>
        <w:left w:val="none" w:sz="0" w:space="0" w:color="auto"/>
        <w:bottom w:val="none" w:sz="0" w:space="0" w:color="auto"/>
        <w:right w:val="none" w:sz="0" w:space="0" w:color="auto"/>
      </w:divBdr>
      <w:divsChild>
        <w:div w:id="952172741">
          <w:marLeft w:val="0"/>
          <w:marRight w:val="0"/>
          <w:marTop w:val="0"/>
          <w:marBottom w:val="0"/>
          <w:divBdr>
            <w:top w:val="none" w:sz="0" w:space="0" w:color="auto"/>
            <w:left w:val="none" w:sz="0" w:space="0" w:color="auto"/>
            <w:bottom w:val="none" w:sz="0" w:space="0" w:color="auto"/>
            <w:right w:val="none" w:sz="0" w:space="0" w:color="auto"/>
          </w:divBdr>
        </w:div>
        <w:div w:id="100758066">
          <w:marLeft w:val="0"/>
          <w:marRight w:val="0"/>
          <w:marTop w:val="0"/>
          <w:marBottom w:val="0"/>
          <w:divBdr>
            <w:top w:val="none" w:sz="0" w:space="0" w:color="auto"/>
            <w:left w:val="none" w:sz="0" w:space="0" w:color="auto"/>
            <w:bottom w:val="none" w:sz="0" w:space="0" w:color="auto"/>
            <w:right w:val="none" w:sz="0" w:space="0" w:color="auto"/>
          </w:divBdr>
        </w:div>
      </w:divsChild>
    </w:div>
    <w:div w:id="262881025">
      <w:bodyDiv w:val="1"/>
      <w:marLeft w:val="0"/>
      <w:marRight w:val="0"/>
      <w:marTop w:val="0"/>
      <w:marBottom w:val="0"/>
      <w:divBdr>
        <w:top w:val="none" w:sz="0" w:space="0" w:color="auto"/>
        <w:left w:val="none" w:sz="0" w:space="0" w:color="auto"/>
        <w:bottom w:val="none" w:sz="0" w:space="0" w:color="auto"/>
        <w:right w:val="none" w:sz="0" w:space="0" w:color="auto"/>
      </w:divBdr>
    </w:div>
    <w:div w:id="287050258">
      <w:bodyDiv w:val="1"/>
      <w:marLeft w:val="0"/>
      <w:marRight w:val="0"/>
      <w:marTop w:val="0"/>
      <w:marBottom w:val="0"/>
      <w:divBdr>
        <w:top w:val="none" w:sz="0" w:space="0" w:color="auto"/>
        <w:left w:val="none" w:sz="0" w:space="0" w:color="auto"/>
        <w:bottom w:val="none" w:sz="0" w:space="0" w:color="auto"/>
        <w:right w:val="none" w:sz="0" w:space="0" w:color="auto"/>
      </w:divBdr>
      <w:divsChild>
        <w:div w:id="2018190589">
          <w:marLeft w:val="0"/>
          <w:marRight w:val="0"/>
          <w:marTop w:val="0"/>
          <w:marBottom w:val="0"/>
          <w:divBdr>
            <w:top w:val="none" w:sz="0" w:space="0" w:color="auto"/>
            <w:left w:val="none" w:sz="0" w:space="0" w:color="auto"/>
            <w:bottom w:val="none" w:sz="0" w:space="0" w:color="auto"/>
            <w:right w:val="none" w:sz="0" w:space="0" w:color="auto"/>
          </w:divBdr>
        </w:div>
        <w:div w:id="2031560422">
          <w:marLeft w:val="0"/>
          <w:marRight w:val="0"/>
          <w:marTop w:val="0"/>
          <w:marBottom w:val="0"/>
          <w:divBdr>
            <w:top w:val="none" w:sz="0" w:space="0" w:color="auto"/>
            <w:left w:val="none" w:sz="0" w:space="0" w:color="auto"/>
            <w:bottom w:val="none" w:sz="0" w:space="0" w:color="auto"/>
            <w:right w:val="none" w:sz="0" w:space="0" w:color="auto"/>
          </w:divBdr>
        </w:div>
        <w:div w:id="1662418878">
          <w:marLeft w:val="0"/>
          <w:marRight w:val="0"/>
          <w:marTop w:val="0"/>
          <w:marBottom w:val="0"/>
          <w:divBdr>
            <w:top w:val="none" w:sz="0" w:space="0" w:color="auto"/>
            <w:left w:val="none" w:sz="0" w:space="0" w:color="auto"/>
            <w:bottom w:val="none" w:sz="0" w:space="0" w:color="auto"/>
            <w:right w:val="none" w:sz="0" w:space="0" w:color="auto"/>
          </w:divBdr>
        </w:div>
        <w:div w:id="897861120">
          <w:marLeft w:val="0"/>
          <w:marRight w:val="0"/>
          <w:marTop w:val="0"/>
          <w:marBottom w:val="0"/>
          <w:divBdr>
            <w:top w:val="none" w:sz="0" w:space="0" w:color="auto"/>
            <w:left w:val="none" w:sz="0" w:space="0" w:color="auto"/>
            <w:bottom w:val="none" w:sz="0" w:space="0" w:color="auto"/>
            <w:right w:val="none" w:sz="0" w:space="0" w:color="auto"/>
          </w:divBdr>
        </w:div>
      </w:divsChild>
    </w:div>
    <w:div w:id="300577685">
      <w:bodyDiv w:val="1"/>
      <w:marLeft w:val="0"/>
      <w:marRight w:val="0"/>
      <w:marTop w:val="0"/>
      <w:marBottom w:val="0"/>
      <w:divBdr>
        <w:top w:val="none" w:sz="0" w:space="0" w:color="auto"/>
        <w:left w:val="none" w:sz="0" w:space="0" w:color="auto"/>
        <w:bottom w:val="none" w:sz="0" w:space="0" w:color="auto"/>
        <w:right w:val="none" w:sz="0" w:space="0" w:color="auto"/>
      </w:divBdr>
      <w:divsChild>
        <w:div w:id="2034766850">
          <w:marLeft w:val="0"/>
          <w:marRight w:val="0"/>
          <w:marTop w:val="0"/>
          <w:marBottom w:val="0"/>
          <w:divBdr>
            <w:top w:val="none" w:sz="0" w:space="0" w:color="auto"/>
            <w:left w:val="none" w:sz="0" w:space="0" w:color="auto"/>
            <w:bottom w:val="none" w:sz="0" w:space="0" w:color="auto"/>
            <w:right w:val="none" w:sz="0" w:space="0" w:color="auto"/>
          </w:divBdr>
        </w:div>
        <w:div w:id="951130229">
          <w:marLeft w:val="0"/>
          <w:marRight w:val="0"/>
          <w:marTop w:val="0"/>
          <w:marBottom w:val="0"/>
          <w:divBdr>
            <w:top w:val="none" w:sz="0" w:space="0" w:color="auto"/>
            <w:left w:val="none" w:sz="0" w:space="0" w:color="auto"/>
            <w:bottom w:val="none" w:sz="0" w:space="0" w:color="auto"/>
            <w:right w:val="none" w:sz="0" w:space="0" w:color="auto"/>
          </w:divBdr>
        </w:div>
        <w:div w:id="1161310877">
          <w:marLeft w:val="0"/>
          <w:marRight w:val="0"/>
          <w:marTop w:val="0"/>
          <w:marBottom w:val="0"/>
          <w:divBdr>
            <w:top w:val="none" w:sz="0" w:space="0" w:color="auto"/>
            <w:left w:val="none" w:sz="0" w:space="0" w:color="auto"/>
            <w:bottom w:val="none" w:sz="0" w:space="0" w:color="auto"/>
            <w:right w:val="none" w:sz="0" w:space="0" w:color="auto"/>
          </w:divBdr>
        </w:div>
        <w:div w:id="1157115010">
          <w:marLeft w:val="0"/>
          <w:marRight w:val="0"/>
          <w:marTop w:val="0"/>
          <w:marBottom w:val="0"/>
          <w:divBdr>
            <w:top w:val="none" w:sz="0" w:space="0" w:color="auto"/>
            <w:left w:val="none" w:sz="0" w:space="0" w:color="auto"/>
            <w:bottom w:val="none" w:sz="0" w:space="0" w:color="auto"/>
            <w:right w:val="none" w:sz="0" w:space="0" w:color="auto"/>
          </w:divBdr>
        </w:div>
        <w:div w:id="509608911">
          <w:marLeft w:val="0"/>
          <w:marRight w:val="0"/>
          <w:marTop w:val="0"/>
          <w:marBottom w:val="0"/>
          <w:divBdr>
            <w:top w:val="none" w:sz="0" w:space="0" w:color="auto"/>
            <w:left w:val="none" w:sz="0" w:space="0" w:color="auto"/>
            <w:bottom w:val="none" w:sz="0" w:space="0" w:color="auto"/>
            <w:right w:val="none" w:sz="0" w:space="0" w:color="auto"/>
          </w:divBdr>
        </w:div>
        <w:div w:id="779495567">
          <w:marLeft w:val="0"/>
          <w:marRight w:val="0"/>
          <w:marTop w:val="0"/>
          <w:marBottom w:val="0"/>
          <w:divBdr>
            <w:top w:val="none" w:sz="0" w:space="0" w:color="auto"/>
            <w:left w:val="none" w:sz="0" w:space="0" w:color="auto"/>
            <w:bottom w:val="none" w:sz="0" w:space="0" w:color="auto"/>
            <w:right w:val="none" w:sz="0" w:space="0" w:color="auto"/>
          </w:divBdr>
        </w:div>
      </w:divsChild>
    </w:div>
    <w:div w:id="363293126">
      <w:bodyDiv w:val="1"/>
      <w:marLeft w:val="0"/>
      <w:marRight w:val="0"/>
      <w:marTop w:val="0"/>
      <w:marBottom w:val="0"/>
      <w:divBdr>
        <w:top w:val="none" w:sz="0" w:space="0" w:color="auto"/>
        <w:left w:val="none" w:sz="0" w:space="0" w:color="auto"/>
        <w:bottom w:val="none" w:sz="0" w:space="0" w:color="auto"/>
        <w:right w:val="none" w:sz="0" w:space="0" w:color="auto"/>
      </w:divBdr>
    </w:div>
    <w:div w:id="541093622">
      <w:bodyDiv w:val="1"/>
      <w:marLeft w:val="0"/>
      <w:marRight w:val="0"/>
      <w:marTop w:val="0"/>
      <w:marBottom w:val="0"/>
      <w:divBdr>
        <w:top w:val="none" w:sz="0" w:space="0" w:color="auto"/>
        <w:left w:val="none" w:sz="0" w:space="0" w:color="auto"/>
        <w:bottom w:val="none" w:sz="0" w:space="0" w:color="auto"/>
        <w:right w:val="none" w:sz="0" w:space="0" w:color="auto"/>
      </w:divBdr>
      <w:divsChild>
        <w:div w:id="1635670750">
          <w:marLeft w:val="0"/>
          <w:marRight w:val="0"/>
          <w:marTop w:val="0"/>
          <w:marBottom w:val="0"/>
          <w:divBdr>
            <w:top w:val="none" w:sz="0" w:space="0" w:color="auto"/>
            <w:left w:val="none" w:sz="0" w:space="0" w:color="auto"/>
            <w:bottom w:val="none" w:sz="0" w:space="0" w:color="auto"/>
            <w:right w:val="none" w:sz="0" w:space="0" w:color="auto"/>
          </w:divBdr>
        </w:div>
        <w:div w:id="510990021">
          <w:marLeft w:val="0"/>
          <w:marRight w:val="0"/>
          <w:marTop w:val="0"/>
          <w:marBottom w:val="0"/>
          <w:divBdr>
            <w:top w:val="none" w:sz="0" w:space="0" w:color="auto"/>
            <w:left w:val="none" w:sz="0" w:space="0" w:color="auto"/>
            <w:bottom w:val="none" w:sz="0" w:space="0" w:color="auto"/>
            <w:right w:val="none" w:sz="0" w:space="0" w:color="auto"/>
          </w:divBdr>
        </w:div>
      </w:divsChild>
    </w:div>
    <w:div w:id="611861089">
      <w:bodyDiv w:val="1"/>
      <w:marLeft w:val="0"/>
      <w:marRight w:val="0"/>
      <w:marTop w:val="0"/>
      <w:marBottom w:val="0"/>
      <w:divBdr>
        <w:top w:val="none" w:sz="0" w:space="0" w:color="auto"/>
        <w:left w:val="none" w:sz="0" w:space="0" w:color="auto"/>
        <w:bottom w:val="none" w:sz="0" w:space="0" w:color="auto"/>
        <w:right w:val="none" w:sz="0" w:space="0" w:color="auto"/>
      </w:divBdr>
      <w:divsChild>
        <w:div w:id="565646595">
          <w:marLeft w:val="0"/>
          <w:marRight w:val="0"/>
          <w:marTop w:val="0"/>
          <w:marBottom w:val="0"/>
          <w:divBdr>
            <w:top w:val="none" w:sz="0" w:space="0" w:color="auto"/>
            <w:left w:val="none" w:sz="0" w:space="0" w:color="auto"/>
            <w:bottom w:val="none" w:sz="0" w:space="0" w:color="auto"/>
            <w:right w:val="none" w:sz="0" w:space="0" w:color="auto"/>
          </w:divBdr>
        </w:div>
      </w:divsChild>
    </w:div>
    <w:div w:id="684945486">
      <w:bodyDiv w:val="1"/>
      <w:marLeft w:val="0"/>
      <w:marRight w:val="0"/>
      <w:marTop w:val="0"/>
      <w:marBottom w:val="0"/>
      <w:divBdr>
        <w:top w:val="none" w:sz="0" w:space="0" w:color="auto"/>
        <w:left w:val="none" w:sz="0" w:space="0" w:color="auto"/>
        <w:bottom w:val="none" w:sz="0" w:space="0" w:color="auto"/>
        <w:right w:val="none" w:sz="0" w:space="0" w:color="auto"/>
      </w:divBdr>
      <w:divsChild>
        <w:div w:id="1351449455">
          <w:marLeft w:val="0"/>
          <w:marRight w:val="0"/>
          <w:marTop w:val="0"/>
          <w:marBottom w:val="0"/>
          <w:divBdr>
            <w:top w:val="none" w:sz="0" w:space="0" w:color="auto"/>
            <w:left w:val="none" w:sz="0" w:space="0" w:color="auto"/>
            <w:bottom w:val="none" w:sz="0" w:space="0" w:color="auto"/>
            <w:right w:val="none" w:sz="0" w:space="0" w:color="auto"/>
          </w:divBdr>
        </w:div>
        <w:div w:id="1927886773">
          <w:marLeft w:val="0"/>
          <w:marRight w:val="0"/>
          <w:marTop w:val="0"/>
          <w:marBottom w:val="0"/>
          <w:divBdr>
            <w:top w:val="none" w:sz="0" w:space="0" w:color="auto"/>
            <w:left w:val="none" w:sz="0" w:space="0" w:color="auto"/>
            <w:bottom w:val="none" w:sz="0" w:space="0" w:color="auto"/>
            <w:right w:val="none" w:sz="0" w:space="0" w:color="auto"/>
          </w:divBdr>
        </w:div>
        <w:div w:id="843711519">
          <w:marLeft w:val="0"/>
          <w:marRight w:val="0"/>
          <w:marTop w:val="0"/>
          <w:marBottom w:val="0"/>
          <w:divBdr>
            <w:top w:val="none" w:sz="0" w:space="0" w:color="auto"/>
            <w:left w:val="none" w:sz="0" w:space="0" w:color="auto"/>
            <w:bottom w:val="none" w:sz="0" w:space="0" w:color="auto"/>
            <w:right w:val="none" w:sz="0" w:space="0" w:color="auto"/>
          </w:divBdr>
        </w:div>
      </w:divsChild>
    </w:div>
    <w:div w:id="685405678">
      <w:bodyDiv w:val="1"/>
      <w:marLeft w:val="0"/>
      <w:marRight w:val="0"/>
      <w:marTop w:val="0"/>
      <w:marBottom w:val="0"/>
      <w:divBdr>
        <w:top w:val="none" w:sz="0" w:space="0" w:color="auto"/>
        <w:left w:val="none" w:sz="0" w:space="0" w:color="auto"/>
        <w:bottom w:val="none" w:sz="0" w:space="0" w:color="auto"/>
        <w:right w:val="none" w:sz="0" w:space="0" w:color="auto"/>
      </w:divBdr>
      <w:divsChild>
        <w:div w:id="1153831082">
          <w:marLeft w:val="0"/>
          <w:marRight w:val="0"/>
          <w:marTop w:val="0"/>
          <w:marBottom w:val="0"/>
          <w:divBdr>
            <w:top w:val="none" w:sz="0" w:space="0" w:color="auto"/>
            <w:left w:val="none" w:sz="0" w:space="0" w:color="auto"/>
            <w:bottom w:val="none" w:sz="0" w:space="0" w:color="auto"/>
            <w:right w:val="none" w:sz="0" w:space="0" w:color="auto"/>
          </w:divBdr>
        </w:div>
        <w:div w:id="1293944853">
          <w:marLeft w:val="0"/>
          <w:marRight w:val="0"/>
          <w:marTop w:val="0"/>
          <w:marBottom w:val="0"/>
          <w:divBdr>
            <w:top w:val="none" w:sz="0" w:space="0" w:color="auto"/>
            <w:left w:val="none" w:sz="0" w:space="0" w:color="auto"/>
            <w:bottom w:val="none" w:sz="0" w:space="0" w:color="auto"/>
            <w:right w:val="none" w:sz="0" w:space="0" w:color="auto"/>
          </w:divBdr>
        </w:div>
      </w:divsChild>
    </w:div>
    <w:div w:id="836312602">
      <w:bodyDiv w:val="1"/>
      <w:marLeft w:val="0"/>
      <w:marRight w:val="0"/>
      <w:marTop w:val="0"/>
      <w:marBottom w:val="0"/>
      <w:divBdr>
        <w:top w:val="none" w:sz="0" w:space="0" w:color="auto"/>
        <w:left w:val="none" w:sz="0" w:space="0" w:color="auto"/>
        <w:bottom w:val="none" w:sz="0" w:space="0" w:color="auto"/>
        <w:right w:val="none" w:sz="0" w:space="0" w:color="auto"/>
      </w:divBdr>
      <w:divsChild>
        <w:div w:id="636494921">
          <w:marLeft w:val="0"/>
          <w:marRight w:val="0"/>
          <w:marTop w:val="0"/>
          <w:marBottom w:val="0"/>
          <w:divBdr>
            <w:top w:val="none" w:sz="0" w:space="0" w:color="auto"/>
            <w:left w:val="none" w:sz="0" w:space="0" w:color="auto"/>
            <w:bottom w:val="none" w:sz="0" w:space="0" w:color="auto"/>
            <w:right w:val="none" w:sz="0" w:space="0" w:color="auto"/>
          </w:divBdr>
        </w:div>
        <w:div w:id="337076995">
          <w:marLeft w:val="0"/>
          <w:marRight w:val="0"/>
          <w:marTop w:val="0"/>
          <w:marBottom w:val="0"/>
          <w:divBdr>
            <w:top w:val="none" w:sz="0" w:space="0" w:color="auto"/>
            <w:left w:val="none" w:sz="0" w:space="0" w:color="auto"/>
            <w:bottom w:val="none" w:sz="0" w:space="0" w:color="auto"/>
            <w:right w:val="none" w:sz="0" w:space="0" w:color="auto"/>
          </w:divBdr>
        </w:div>
        <w:div w:id="1356930573">
          <w:marLeft w:val="0"/>
          <w:marRight w:val="0"/>
          <w:marTop w:val="0"/>
          <w:marBottom w:val="0"/>
          <w:divBdr>
            <w:top w:val="none" w:sz="0" w:space="0" w:color="auto"/>
            <w:left w:val="none" w:sz="0" w:space="0" w:color="auto"/>
            <w:bottom w:val="none" w:sz="0" w:space="0" w:color="auto"/>
            <w:right w:val="none" w:sz="0" w:space="0" w:color="auto"/>
          </w:divBdr>
        </w:div>
        <w:div w:id="1841046979">
          <w:marLeft w:val="0"/>
          <w:marRight w:val="0"/>
          <w:marTop w:val="0"/>
          <w:marBottom w:val="0"/>
          <w:divBdr>
            <w:top w:val="none" w:sz="0" w:space="0" w:color="auto"/>
            <w:left w:val="none" w:sz="0" w:space="0" w:color="auto"/>
            <w:bottom w:val="none" w:sz="0" w:space="0" w:color="auto"/>
            <w:right w:val="none" w:sz="0" w:space="0" w:color="auto"/>
          </w:divBdr>
        </w:div>
      </w:divsChild>
    </w:div>
    <w:div w:id="912161310">
      <w:bodyDiv w:val="1"/>
      <w:marLeft w:val="0"/>
      <w:marRight w:val="0"/>
      <w:marTop w:val="0"/>
      <w:marBottom w:val="0"/>
      <w:divBdr>
        <w:top w:val="none" w:sz="0" w:space="0" w:color="auto"/>
        <w:left w:val="none" w:sz="0" w:space="0" w:color="auto"/>
        <w:bottom w:val="none" w:sz="0" w:space="0" w:color="auto"/>
        <w:right w:val="none" w:sz="0" w:space="0" w:color="auto"/>
      </w:divBdr>
      <w:divsChild>
        <w:div w:id="1724329760">
          <w:marLeft w:val="0"/>
          <w:marRight w:val="0"/>
          <w:marTop w:val="0"/>
          <w:marBottom w:val="0"/>
          <w:divBdr>
            <w:top w:val="none" w:sz="0" w:space="0" w:color="auto"/>
            <w:left w:val="none" w:sz="0" w:space="0" w:color="auto"/>
            <w:bottom w:val="none" w:sz="0" w:space="0" w:color="auto"/>
            <w:right w:val="none" w:sz="0" w:space="0" w:color="auto"/>
          </w:divBdr>
        </w:div>
        <w:div w:id="2081292750">
          <w:marLeft w:val="0"/>
          <w:marRight w:val="0"/>
          <w:marTop w:val="0"/>
          <w:marBottom w:val="0"/>
          <w:divBdr>
            <w:top w:val="none" w:sz="0" w:space="0" w:color="auto"/>
            <w:left w:val="none" w:sz="0" w:space="0" w:color="auto"/>
            <w:bottom w:val="none" w:sz="0" w:space="0" w:color="auto"/>
            <w:right w:val="none" w:sz="0" w:space="0" w:color="auto"/>
          </w:divBdr>
        </w:div>
      </w:divsChild>
    </w:div>
    <w:div w:id="931595839">
      <w:bodyDiv w:val="1"/>
      <w:marLeft w:val="0"/>
      <w:marRight w:val="0"/>
      <w:marTop w:val="0"/>
      <w:marBottom w:val="0"/>
      <w:divBdr>
        <w:top w:val="none" w:sz="0" w:space="0" w:color="auto"/>
        <w:left w:val="none" w:sz="0" w:space="0" w:color="auto"/>
        <w:bottom w:val="none" w:sz="0" w:space="0" w:color="auto"/>
        <w:right w:val="none" w:sz="0" w:space="0" w:color="auto"/>
      </w:divBdr>
      <w:divsChild>
        <w:div w:id="1805847921">
          <w:marLeft w:val="0"/>
          <w:marRight w:val="0"/>
          <w:marTop w:val="0"/>
          <w:marBottom w:val="0"/>
          <w:divBdr>
            <w:top w:val="none" w:sz="0" w:space="0" w:color="auto"/>
            <w:left w:val="none" w:sz="0" w:space="0" w:color="auto"/>
            <w:bottom w:val="none" w:sz="0" w:space="0" w:color="auto"/>
            <w:right w:val="none" w:sz="0" w:space="0" w:color="auto"/>
          </w:divBdr>
        </w:div>
        <w:div w:id="574436707">
          <w:marLeft w:val="0"/>
          <w:marRight w:val="0"/>
          <w:marTop w:val="0"/>
          <w:marBottom w:val="0"/>
          <w:divBdr>
            <w:top w:val="none" w:sz="0" w:space="0" w:color="auto"/>
            <w:left w:val="none" w:sz="0" w:space="0" w:color="auto"/>
            <w:bottom w:val="none" w:sz="0" w:space="0" w:color="auto"/>
            <w:right w:val="none" w:sz="0" w:space="0" w:color="auto"/>
          </w:divBdr>
        </w:div>
      </w:divsChild>
    </w:div>
    <w:div w:id="952439039">
      <w:bodyDiv w:val="1"/>
      <w:marLeft w:val="0"/>
      <w:marRight w:val="0"/>
      <w:marTop w:val="0"/>
      <w:marBottom w:val="0"/>
      <w:divBdr>
        <w:top w:val="none" w:sz="0" w:space="0" w:color="auto"/>
        <w:left w:val="none" w:sz="0" w:space="0" w:color="auto"/>
        <w:bottom w:val="none" w:sz="0" w:space="0" w:color="auto"/>
        <w:right w:val="none" w:sz="0" w:space="0" w:color="auto"/>
      </w:divBdr>
    </w:div>
    <w:div w:id="985084370">
      <w:bodyDiv w:val="1"/>
      <w:marLeft w:val="0"/>
      <w:marRight w:val="0"/>
      <w:marTop w:val="0"/>
      <w:marBottom w:val="0"/>
      <w:divBdr>
        <w:top w:val="none" w:sz="0" w:space="0" w:color="auto"/>
        <w:left w:val="none" w:sz="0" w:space="0" w:color="auto"/>
        <w:bottom w:val="none" w:sz="0" w:space="0" w:color="auto"/>
        <w:right w:val="none" w:sz="0" w:space="0" w:color="auto"/>
      </w:divBdr>
    </w:div>
    <w:div w:id="1059132183">
      <w:bodyDiv w:val="1"/>
      <w:marLeft w:val="0"/>
      <w:marRight w:val="0"/>
      <w:marTop w:val="0"/>
      <w:marBottom w:val="0"/>
      <w:divBdr>
        <w:top w:val="none" w:sz="0" w:space="0" w:color="auto"/>
        <w:left w:val="none" w:sz="0" w:space="0" w:color="auto"/>
        <w:bottom w:val="none" w:sz="0" w:space="0" w:color="auto"/>
        <w:right w:val="none" w:sz="0" w:space="0" w:color="auto"/>
      </w:divBdr>
    </w:div>
    <w:div w:id="1060858448">
      <w:bodyDiv w:val="1"/>
      <w:marLeft w:val="0"/>
      <w:marRight w:val="0"/>
      <w:marTop w:val="0"/>
      <w:marBottom w:val="0"/>
      <w:divBdr>
        <w:top w:val="none" w:sz="0" w:space="0" w:color="auto"/>
        <w:left w:val="none" w:sz="0" w:space="0" w:color="auto"/>
        <w:bottom w:val="none" w:sz="0" w:space="0" w:color="auto"/>
        <w:right w:val="none" w:sz="0" w:space="0" w:color="auto"/>
      </w:divBdr>
    </w:div>
    <w:div w:id="1080366553">
      <w:bodyDiv w:val="1"/>
      <w:marLeft w:val="0"/>
      <w:marRight w:val="0"/>
      <w:marTop w:val="0"/>
      <w:marBottom w:val="0"/>
      <w:divBdr>
        <w:top w:val="none" w:sz="0" w:space="0" w:color="auto"/>
        <w:left w:val="none" w:sz="0" w:space="0" w:color="auto"/>
        <w:bottom w:val="none" w:sz="0" w:space="0" w:color="auto"/>
        <w:right w:val="none" w:sz="0" w:space="0" w:color="auto"/>
      </w:divBdr>
    </w:div>
    <w:div w:id="1112241195">
      <w:bodyDiv w:val="1"/>
      <w:marLeft w:val="0"/>
      <w:marRight w:val="0"/>
      <w:marTop w:val="0"/>
      <w:marBottom w:val="0"/>
      <w:divBdr>
        <w:top w:val="none" w:sz="0" w:space="0" w:color="auto"/>
        <w:left w:val="none" w:sz="0" w:space="0" w:color="auto"/>
        <w:bottom w:val="none" w:sz="0" w:space="0" w:color="auto"/>
        <w:right w:val="none" w:sz="0" w:space="0" w:color="auto"/>
      </w:divBdr>
      <w:divsChild>
        <w:div w:id="1309673809">
          <w:marLeft w:val="0"/>
          <w:marRight w:val="0"/>
          <w:marTop w:val="0"/>
          <w:marBottom w:val="0"/>
          <w:divBdr>
            <w:top w:val="none" w:sz="0" w:space="0" w:color="auto"/>
            <w:left w:val="none" w:sz="0" w:space="0" w:color="auto"/>
            <w:bottom w:val="none" w:sz="0" w:space="0" w:color="auto"/>
            <w:right w:val="none" w:sz="0" w:space="0" w:color="auto"/>
          </w:divBdr>
        </w:div>
        <w:div w:id="1720011413">
          <w:marLeft w:val="0"/>
          <w:marRight w:val="0"/>
          <w:marTop w:val="0"/>
          <w:marBottom w:val="0"/>
          <w:divBdr>
            <w:top w:val="none" w:sz="0" w:space="0" w:color="auto"/>
            <w:left w:val="none" w:sz="0" w:space="0" w:color="auto"/>
            <w:bottom w:val="none" w:sz="0" w:space="0" w:color="auto"/>
            <w:right w:val="none" w:sz="0" w:space="0" w:color="auto"/>
          </w:divBdr>
        </w:div>
      </w:divsChild>
    </w:div>
    <w:div w:id="1143154566">
      <w:bodyDiv w:val="1"/>
      <w:marLeft w:val="0"/>
      <w:marRight w:val="0"/>
      <w:marTop w:val="0"/>
      <w:marBottom w:val="0"/>
      <w:divBdr>
        <w:top w:val="none" w:sz="0" w:space="0" w:color="auto"/>
        <w:left w:val="none" w:sz="0" w:space="0" w:color="auto"/>
        <w:bottom w:val="none" w:sz="0" w:space="0" w:color="auto"/>
        <w:right w:val="none" w:sz="0" w:space="0" w:color="auto"/>
      </w:divBdr>
      <w:divsChild>
        <w:div w:id="1634217258">
          <w:marLeft w:val="0"/>
          <w:marRight w:val="0"/>
          <w:marTop w:val="0"/>
          <w:marBottom w:val="0"/>
          <w:divBdr>
            <w:top w:val="none" w:sz="0" w:space="0" w:color="auto"/>
            <w:left w:val="none" w:sz="0" w:space="0" w:color="auto"/>
            <w:bottom w:val="none" w:sz="0" w:space="0" w:color="auto"/>
            <w:right w:val="none" w:sz="0" w:space="0" w:color="auto"/>
          </w:divBdr>
        </w:div>
        <w:div w:id="996542197">
          <w:marLeft w:val="0"/>
          <w:marRight w:val="0"/>
          <w:marTop w:val="0"/>
          <w:marBottom w:val="0"/>
          <w:divBdr>
            <w:top w:val="none" w:sz="0" w:space="0" w:color="auto"/>
            <w:left w:val="none" w:sz="0" w:space="0" w:color="auto"/>
            <w:bottom w:val="none" w:sz="0" w:space="0" w:color="auto"/>
            <w:right w:val="none" w:sz="0" w:space="0" w:color="auto"/>
          </w:divBdr>
        </w:div>
        <w:div w:id="1666586755">
          <w:marLeft w:val="0"/>
          <w:marRight w:val="0"/>
          <w:marTop w:val="0"/>
          <w:marBottom w:val="0"/>
          <w:divBdr>
            <w:top w:val="none" w:sz="0" w:space="0" w:color="auto"/>
            <w:left w:val="none" w:sz="0" w:space="0" w:color="auto"/>
            <w:bottom w:val="none" w:sz="0" w:space="0" w:color="auto"/>
            <w:right w:val="none" w:sz="0" w:space="0" w:color="auto"/>
          </w:divBdr>
        </w:div>
        <w:div w:id="1664626159">
          <w:marLeft w:val="0"/>
          <w:marRight w:val="0"/>
          <w:marTop w:val="0"/>
          <w:marBottom w:val="0"/>
          <w:divBdr>
            <w:top w:val="none" w:sz="0" w:space="0" w:color="auto"/>
            <w:left w:val="none" w:sz="0" w:space="0" w:color="auto"/>
            <w:bottom w:val="none" w:sz="0" w:space="0" w:color="auto"/>
            <w:right w:val="none" w:sz="0" w:space="0" w:color="auto"/>
          </w:divBdr>
        </w:div>
        <w:div w:id="1028874086">
          <w:marLeft w:val="0"/>
          <w:marRight w:val="0"/>
          <w:marTop w:val="0"/>
          <w:marBottom w:val="0"/>
          <w:divBdr>
            <w:top w:val="none" w:sz="0" w:space="0" w:color="auto"/>
            <w:left w:val="none" w:sz="0" w:space="0" w:color="auto"/>
            <w:bottom w:val="none" w:sz="0" w:space="0" w:color="auto"/>
            <w:right w:val="none" w:sz="0" w:space="0" w:color="auto"/>
          </w:divBdr>
        </w:div>
        <w:div w:id="2063365415">
          <w:marLeft w:val="0"/>
          <w:marRight w:val="0"/>
          <w:marTop w:val="0"/>
          <w:marBottom w:val="0"/>
          <w:divBdr>
            <w:top w:val="none" w:sz="0" w:space="0" w:color="auto"/>
            <w:left w:val="none" w:sz="0" w:space="0" w:color="auto"/>
            <w:bottom w:val="none" w:sz="0" w:space="0" w:color="auto"/>
            <w:right w:val="none" w:sz="0" w:space="0" w:color="auto"/>
          </w:divBdr>
        </w:div>
        <w:div w:id="2070961498">
          <w:marLeft w:val="0"/>
          <w:marRight w:val="0"/>
          <w:marTop w:val="0"/>
          <w:marBottom w:val="0"/>
          <w:divBdr>
            <w:top w:val="none" w:sz="0" w:space="0" w:color="auto"/>
            <w:left w:val="none" w:sz="0" w:space="0" w:color="auto"/>
            <w:bottom w:val="none" w:sz="0" w:space="0" w:color="auto"/>
            <w:right w:val="none" w:sz="0" w:space="0" w:color="auto"/>
          </w:divBdr>
        </w:div>
        <w:div w:id="2020042748">
          <w:marLeft w:val="0"/>
          <w:marRight w:val="0"/>
          <w:marTop w:val="0"/>
          <w:marBottom w:val="0"/>
          <w:divBdr>
            <w:top w:val="none" w:sz="0" w:space="0" w:color="auto"/>
            <w:left w:val="none" w:sz="0" w:space="0" w:color="auto"/>
            <w:bottom w:val="none" w:sz="0" w:space="0" w:color="auto"/>
            <w:right w:val="none" w:sz="0" w:space="0" w:color="auto"/>
          </w:divBdr>
        </w:div>
      </w:divsChild>
    </w:div>
    <w:div w:id="1273053309">
      <w:bodyDiv w:val="1"/>
      <w:marLeft w:val="0"/>
      <w:marRight w:val="0"/>
      <w:marTop w:val="0"/>
      <w:marBottom w:val="0"/>
      <w:divBdr>
        <w:top w:val="none" w:sz="0" w:space="0" w:color="auto"/>
        <w:left w:val="none" w:sz="0" w:space="0" w:color="auto"/>
        <w:bottom w:val="none" w:sz="0" w:space="0" w:color="auto"/>
        <w:right w:val="none" w:sz="0" w:space="0" w:color="auto"/>
      </w:divBdr>
    </w:div>
    <w:div w:id="1286080589">
      <w:bodyDiv w:val="1"/>
      <w:marLeft w:val="0"/>
      <w:marRight w:val="0"/>
      <w:marTop w:val="0"/>
      <w:marBottom w:val="0"/>
      <w:divBdr>
        <w:top w:val="none" w:sz="0" w:space="0" w:color="auto"/>
        <w:left w:val="none" w:sz="0" w:space="0" w:color="auto"/>
        <w:bottom w:val="none" w:sz="0" w:space="0" w:color="auto"/>
        <w:right w:val="none" w:sz="0" w:space="0" w:color="auto"/>
      </w:divBdr>
      <w:divsChild>
        <w:div w:id="1054964843">
          <w:marLeft w:val="0"/>
          <w:marRight w:val="0"/>
          <w:marTop w:val="0"/>
          <w:marBottom w:val="0"/>
          <w:divBdr>
            <w:top w:val="none" w:sz="0" w:space="0" w:color="auto"/>
            <w:left w:val="none" w:sz="0" w:space="0" w:color="auto"/>
            <w:bottom w:val="none" w:sz="0" w:space="0" w:color="auto"/>
            <w:right w:val="none" w:sz="0" w:space="0" w:color="auto"/>
          </w:divBdr>
        </w:div>
        <w:div w:id="1218934689">
          <w:marLeft w:val="0"/>
          <w:marRight w:val="0"/>
          <w:marTop w:val="0"/>
          <w:marBottom w:val="0"/>
          <w:divBdr>
            <w:top w:val="none" w:sz="0" w:space="0" w:color="auto"/>
            <w:left w:val="none" w:sz="0" w:space="0" w:color="auto"/>
            <w:bottom w:val="none" w:sz="0" w:space="0" w:color="auto"/>
            <w:right w:val="none" w:sz="0" w:space="0" w:color="auto"/>
          </w:divBdr>
        </w:div>
        <w:div w:id="96484742">
          <w:marLeft w:val="0"/>
          <w:marRight w:val="0"/>
          <w:marTop w:val="0"/>
          <w:marBottom w:val="0"/>
          <w:divBdr>
            <w:top w:val="none" w:sz="0" w:space="0" w:color="auto"/>
            <w:left w:val="none" w:sz="0" w:space="0" w:color="auto"/>
            <w:bottom w:val="none" w:sz="0" w:space="0" w:color="auto"/>
            <w:right w:val="none" w:sz="0" w:space="0" w:color="auto"/>
          </w:divBdr>
        </w:div>
      </w:divsChild>
    </w:div>
    <w:div w:id="1313951319">
      <w:bodyDiv w:val="1"/>
      <w:marLeft w:val="0"/>
      <w:marRight w:val="0"/>
      <w:marTop w:val="0"/>
      <w:marBottom w:val="0"/>
      <w:divBdr>
        <w:top w:val="none" w:sz="0" w:space="0" w:color="auto"/>
        <w:left w:val="none" w:sz="0" w:space="0" w:color="auto"/>
        <w:bottom w:val="none" w:sz="0" w:space="0" w:color="auto"/>
        <w:right w:val="none" w:sz="0" w:space="0" w:color="auto"/>
      </w:divBdr>
      <w:divsChild>
        <w:div w:id="925958718">
          <w:marLeft w:val="0"/>
          <w:marRight w:val="0"/>
          <w:marTop w:val="0"/>
          <w:marBottom w:val="0"/>
          <w:divBdr>
            <w:top w:val="none" w:sz="0" w:space="0" w:color="auto"/>
            <w:left w:val="none" w:sz="0" w:space="0" w:color="auto"/>
            <w:bottom w:val="none" w:sz="0" w:space="0" w:color="auto"/>
            <w:right w:val="none" w:sz="0" w:space="0" w:color="auto"/>
          </w:divBdr>
        </w:div>
        <w:div w:id="506869334">
          <w:marLeft w:val="0"/>
          <w:marRight w:val="0"/>
          <w:marTop w:val="0"/>
          <w:marBottom w:val="0"/>
          <w:divBdr>
            <w:top w:val="none" w:sz="0" w:space="0" w:color="auto"/>
            <w:left w:val="none" w:sz="0" w:space="0" w:color="auto"/>
            <w:bottom w:val="none" w:sz="0" w:space="0" w:color="auto"/>
            <w:right w:val="none" w:sz="0" w:space="0" w:color="auto"/>
          </w:divBdr>
        </w:div>
        <w:div w:id="410588231">
          <w:marLeft w:val="0"/>
          <w:marRight w:val="0"/>
          <w:marTop w:val="0"/>
          <w:marBottom w:val="0"/>
          <w:divBdr>
            <w:top w:val="none" w:sz="0" w:space="0" w:color="auto"/>
            <w:left w:val="none" w:sz="0" w:space="0" w:color="auto"/>
            <w:bottom w:val="none" w:sz="0" w:space="0" w:color="auto"/>
            <w:right w:val="none" w:sz="0" w:space="0" w:color="auto"/>
          </w:divBdr>
        </w:div>
        <w:div w:id="2101481272">
          <w:marLeft w:val="0"/>
          <w:marRight w:val="0"/>
          <w:marTop w:val="0"/>
          <w:marBottom w:val="0"/>
          <w:divBdr>
            <w:top w:val="none" w:sz="0" w:space="0" w:color="auto"/>
            <w:left w:val="none" w:sz="0" w:space="0" w:color="auto"/>
            <w:bottom w:val="none" w:sz="0" w:space="0" w:color="auto"/>
            <w:right w:val="none" w:sz="0" w:space="0" w:color="auto"/>
          </w:divBdr>
        </w:div>
        <w:div w:id="1531723078">
          <w:marLeft w:val="0"/>
          <w:marRight w:val="0"/>
          <w:marTop w:val="0"/>
          <w:marBottom w:val="0"/>
          <w:divBdr>
            <w:top w:val="none" w:sz="0" w:space="0" w:color="auto"/>
            <w:left w:val="none" w:sz="0" w:space="0" w:color="auto"/>
            <w:bottom w:val="none" w:sz="0" w:space="0" w:color="auto"/>
            <w:right w:val="none" w:sz="0" w:space="0" w:color="auto"/>
          </w:divBdr>
        </w:div>
        <w:div w:id="1279406564">
          <w:marLeft w:val="0"/>
          <w:marRight w:val="0"/>
          <w:marTop w:val="0"/>
          <w:marBottom w:val="0"/>
          <w:divBdr>
            <w:top w:val="none" w:sz="0" w:space="0" w:color="auto"/>
            <w:left w:val="none" w:sz="0" w:space="0" w:color="auto"/>
            <w:bottom w:val="none" w:sz="0" w:space="0" w:color="auto"/>
            <w:right w:val="none" w:sz="0" w:space="0" w:color="auto"/>
          </w:divBdr>
        </w:div>
        <w:div w:id="518206318">
          <w:marLeft w:val="0"/>
          <w:marRight w:val="0"/>
          <w:marTop w:val="0"/>
          <w:marBottom w:val="0"/>
          <w:divBdr>
            <w:top w:val="none" w:sz="0" w:space="0" w:color="auto"/>
            <w:left w:val="none" w:sz="0" w:space="0" w:color="auto"/>
            <w:bottom w:val="none" w:sz="0" w:space="0" w:color="auto"/>
            <w:right w:val="none" w:sz="0" w:space="0" w:color="auto"/>
          </w:divBdr>
        </w:div>
        <w:div w:id="720712446">
          <w:marLeft w:val="0"/>
          <w:marRight w:val="0"/>
          <w:marTop w:val="0"/>
          <w:marBottom w:val="0"/>
          <w:divBdr>
            <w:top w:val="none" w:sz="0" w:space="0" w:color="auto"/>
            <w:left w:val="none" w:sz="0" w:space="0" w:color="auto"/>
            <w:bottom w:val="none" w:sz="0" w:space="0" w:color="auto"/>
            <w:right w:val="none" w:sz="0" w:space="0" w:color="auto"/>
          </w:divBdr>
        </w:div>
        <w:div w:id="1124159292">
          <w:marLeft w:val="0"/>
          <w:marRight w:val="0"/>
          <w:marTop w:val="0"/>
          <w:marBottom w:val="0"/>
          <w:divBdr>
            <w:top w:val="none" w:sz="0" w:space="0" w:color="auto"/>
            <w:left w:val="none" w:sz="0" w:space="0" w:color="auto"/>
            <w:bottom w:val="none" w:sz="0" w:space="0" w:color="auto"/>
            <w:right w:val="none" w:sz="0" w:space="0" w:color="auto"/>
          </w:divBdr>
        </w:div>
      </w:divsChild>
    </w:div>
    <w:div w:id="1329017483">
      <w:bodyDiv w:val="1"/>
      <w:marLeft w:val="0"/>
      <w:marRight w:val="0"/>
      <w:marTop w:val="0"/>
      <w:marBottom w:val="0"/>
      <w:divBdr>
        <w:top w:val="none" w:sz="0" w:space="0" w:color="auto"/>
        <w:left w:val="none" w:sz="0" w:space="0" w:color="auto"/>
        <w:bottom w:val="none" w:sz="0" w:space="0" w:color="auto"/>
        <w:right w:val="none" w:sz="0" w:space="0" w:color="auto"/>
      </w:divBdr>
    </w:div>
    <w:div w:id="1491753451">
      <w:bodyDiv w:val="1"/>
      <w:marLeft w:val="0"/>
      <w:marRight w:val="0"/>
      <w:marTop w:val="0"/>
      <w:marBottom w:val="0"/>
      <w:divBdr>
        <w:top w:val="none" w:sz="0" w:space="0" w:color="auto"/>
        <w:left w:val="none" w:sz="0" w:space="0" w:color="auto"/>
        <w:bottom w:val="none" w:sz="0" w:space="0" w:color="auto"/>
        <w:right w:val="none" w:sz="0" w:space="0" w:color="auto"/>
      </w:divBdr>
      <w:divsChild>
        <w:div w:id="1957055465">
          <w:marLeft w:val="0"/>
          <w:marRight w:val="0"/>
          <w:marTop w:val="0"/>
          <w:marBottom w:val="0"/>
          <w:divBdr>
            <w:top w:val="none" w:sz="0" w:space="0" w:color="auto"/>
            <w:left w:val="none" w:sz="0" w:space="0" w:color="auto"/>
            <w:bottom w:val="none" w:sz="0" w:space="0" w:color="auto"/>
            <w:right w:val="none" w:sz="0" w:space="0" w:color="auto"/>
          </w:divBdr>
        </w:div>
        <w:div w:id="1452747038">
          <w:marLeft w:val="0"/>
          <w:marRight w:val="0"/>
          <w:marTop w:val="0"/>
          <w:marBottom w:val="0"/>
          <w:divBdr>
            <w:top w:val="none" w:sz="0" w:space="0" w:color="auto"/>
            <w:left w:val="none" w:sz="0" w:space="0" w:color="auto"/>
            <w:bottom w:val="none" w:sz="0" w:space="0" w:color="auto"/>
            <w:right w:val="none" w:sz="0" w:space="0" w:color="auto"/>
          </w:divBdr>
        </w:div>
        <w:div w:id="1939483266">
          <w:marLeft w:val="0"/>
          <w:marRight w:val="0"/>
          <w:marTop w:val="0"/>
          <w:marBottom w:val="0"/>
          <w:divBdr>
            <w:top w:val="none" w:sz="0" w:space="0" w:color="auto"/>
            <w:left w:val="none" w:sz="0" w:space="0" w:color="auto"/>
            <w:bottom w:val="none" w:sz="0" w:space="0" w:color="auto"/>
            <w:right w:val="none" w:sz="0" w:space="0" w:color="auto"/>
          </w:divBdr>
        </w:div>
      </w:divsChild>
    </w:div>
    <w:div w:id="1493251248">
      <w:bodyDiv w:val="1"/>
      <w:marLeft w:val="0"/>
      <w:marRight w:val="0"/>
      <w:marTop w:val="0"/>
      <w:marBottom w:val="0"/>
      <w:divBdr>
        <w:top w:val="none" w:sz="0" w:space="0" w:color="auto"/>
        <w:left w:val="none" w:sz="0" w:space="0" w:color="auto"/>
        <w:bottom w:val="none" w:sz="0" w:space="0" w:color="auto"/>
        <w:right w:val="none" w:sz="0" w:space="0" w:color="auto"/>
      </w:divBdr>
    </w:div>
    <w:div w:id="1531383697">
      <w:bodyDiv w:val="1"/>
      <w:marLeft w:val="0"/>
      <w:marRight w:val="0"/>
      <w:marTop w:val="0"/>
      <w:marBottom w:val="0"/>
      <w:divBdr>
        <w:top w:val="none" w:sz="0" w:space="0" w:color="auto"/>
        <w:left w:val="none" w:sz="0" w:space="0" w:color="auto"/>
        <w:bottom w:val="none" w:sz="0" w:space="0" w:color="auto"/>
        <w:right w:val="none" w:sz="0" w:space="0" w:color="auto"/>
      </w:divBdr>
    </w:div>
    <w:div w:id="1563100038">
      <w:bodyDiv w:val="1"/>
      <w:marLeft w:val="0"/>
      <w:marRight w:val="0"/>
      <w:marTop w:val="0"/>
      <w:marBottom w:val="0"/>
      <w:divBdr>
        <w:top w:val="none" w:sz="0" w:space="0" w:color="auto"/>
        <w:left w:val="none" w:sz="0" w:space="0" w:color="auto"/>
        <w:bottom w:val="none" w:sz="0" w:space="0" w:color="auto"/>
        <w:right w:val="none" w:sz="0" w:space="0" w:color="auto"/>
      </w:divBdr>
    </w:div>
    <w:div w:id="1588423768">
      <w:bodyDiv w:val="1"/>
      <w:marLeft w:val="0"/>
      <w:marRight w:val="0"/>
      <w:marTop w:val="0"/>
      <w:marBottom w:val="0"/>
      <w:divBdr>
        <w:top w:val="none" w:sz="0" w:space="0" w:color="auto"/>
        <w:left w:val="none" w:sz="0" w:space="0" w:color="auto"/>
        <w:bottom w:val="none" w:sz="0" w:space="0" w:color="auto"/>
        <w:right w:val="none" w:sz="0" w:space="0" w:color="auto"/>
      </w:divBdr>
    </w:div>
    <w:div w:id="1625426636">
      <w:bodyDiv w:val="1"/>
      <w:marLeft w:val="0"/>
      <w:marRight w:val="0"/>
      <w:marTop w:val="0"/>
      <w:marBottom w:val="0"/>
      <w:divBdr>
        <w:top w:val="none" w:sz="0" w:space="0" w:color="auto"/>
        <w:left w:val="none" w:sz="0" w:space="0" w:color="auto"/>
        <w:bottom w:val="none" w:sz="0" w:space="0" w:color="auto"/>
        <w:right w:val="none" w:sz="0" w:space="0" w:color="auto"/>
      </w:divBdr>
      <w:divsChild>
        <w:div w:id="96946925">
          <w:marLeft w:val="0"/>
          <w:marRight w:val="0"/>
          <w:marTop w:val="0"/>
          <w:marBottom w:val="0"/>
          <w:divBdr>
            <w:top w:val="none" w:sz="0" w:space="0" w:color="auto"/>
            <w:left w:val="none" w:sz="0" w:space="0" w:color="auto"/>
            <w:bottom w:val="none" w:sz="0" w:space="0" w:color="auto"/>
            <w:right w:val="none" w:sz="0" w:space="0" w:color="auto"/>
          </w:divBdr>
        </w:div>
        <w:div w:id="1985813095">
          <w:marLeft w:val="0"/>
          <w:marRight w:val="0"/>
          <w:marTop w:val="0"/>
          <w:marBottom w:val="0"/>
          <w:divBdr>
            <w:top w:val="none" w:sz="0" w:space="0" w:color="auto"/>
            <w:left w:val="none" w:sz="0" w:space="0" w:color="auto"/>
            <w:bottom w:val="none" w:sz="0" w:space="0" w:color="auto"/>
            <w:right w:val="none" w:sz="0" w:space="0" w:color="auto"/>
          </w:divBdr>
        </w:div>
        <w:div w:id="1834566769">
          <w:marLeft w:val="0"/>
          <w:marRight w:val="0"/>
          <w:marTop w:val="0"/>
          <w:marBottom w:val="0"/>
          <w:divBdr>
            <w:top w:val="none" w:sz="0" w:space="0" w:color="auto"/>
            <w:left w:val="none" w:sz="0" w:space="0" w:color="auto"/>
            <w:bottom w:val="none" w:sz="0" w:space="0" w:color="auto"/>
            <w:right w:val="none" w:sz="0" w:space="0" w:color="auto"/>
          </w:divBdr>
        </w:div>
        <w:div w:id="701442554">
          <w:marLeft w:val="0"/>
          <w:marRight w:val="0"/>
          <w:marTop w:val="0"/>
          <w:marBottom w:val="0"/>
          <w:divBdr>
            <w:top w:val="none" w:sz="0" w:space="0" w:color="auto"/>
            <w:left w:val="none" w:sz="0" w:space="0" w:color="auto"/>
            <w:bottom w:val="none" w:sz="0" w:space="0" w:color="auto"/>
            <w:right w:val="none" w:sz="0" w:space="0" w:color="auto"/>
          </w:divBdr>
        </w:div>
      </w:divsChild>
    </w:div>
    <w:div w:id="1625817521">
      <w:bodyDiv w:val="1"/>
      <w:marLeft w:val="0"/>
      <w:marRight w:val="0"/>
      <w:marTop w:val="0"/>
      <w:marBottom w:val="0"/>
      <w:divBdr>
        <w:top w:val="none" w:sz="0" w:space="0" w:color="auto"/>
        <w:left w:val="none" w:sz="0" w:space="0" w:color="auto"/>
        <w:bottom w:val="none" w:sz="0" w:space="0" w:color="auto"/>
        <w:right w:val="none" w:sz="0" w:space="0" w:color="auto"/>
      </w:divBdr>
    </w:div>
    <w:div w:id="1688679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629">
          <w:marLeft w:val="0"/>
          <w:marRight w:val="0"/>
          <w:marTop w:val="0"/>
          <w:marBottom w:val="0"/>
          <w:divBdr>
            <w:top w:val="none" w:sz="0" w:space="0" w:color="auto"/>
            <w:left w:val="none" w:sz="0" w:space="0" w:color="auto"/>
            <w:bottom w:val="none" w:sz="0" w:space="0" w:color="auto"/>
            <w:right w:val="none" w:sz="0" w:space="0" w:color="auto"/>
          </w:divBdr>
        </w:div>
        <w:div w:id="729310518">
          <w:marLeft w:val="0"/>
          <w:marRight w:val="0"/>
          <w:marTop w:val="0"/>
          <w:marBottom w:val="0"/>
          <w:divBdr>
            <w:top w:val="none" w:sz="0" w:space="0" w:color="auto"/>
            <w:left w:val="none" w:sz="0" w:space="0" w:color="auto"/>
            <w:bottom w:val="none" w:sz="0" w:space="0" w:color="auto"/>
            <w:right w:val="none" w:sz="0" w:space="0" w:color="auto"/>
          </w:divBdr>
        </w:div>
      </w:divsChild>
    </w:div>
    <w:div w:id="1757898063">
      <w:bodyDiv w:val="1"/>
      <w:marLeft w:val="0"/>
      <w:marRight w:val="0"/>
      <w:marTop w:val="0"/>
      <w:marBottom w:val="0"/>
      <w:divBdr>
        <w:top w:val="none" w:sz="0" w:space="0" w:color="auto"/>
        <w:left w:val="none" w:sz="0" w:space="0" w:color="auto"/>
        <w:bottom w:val="none" w:sz="0" w:space="0" w:color="auto"/>
        <w:right w:val="none" w:sz="0" w:space="0" w:color="auto"/>
      </w:divBdr>
    </w:div>
    <w:div w:id="1764376639">
      <w:bodyDiv w:val="1"/>
      <w:marLeft w:val="0"/>
      <w:marRight w:val="0"/>
      <w:marTop w:val="0"/>
      <w:marBottom w:val="0"/>
      <w:divBdr>
        <w:top w:val="none" w:sz="0" w:space="0" w:color="auto"/>
        <w:left w:val="none" w:sz="0" w:space="0" w:color="auto"/>
        <w:bottom w:val="none" w:sz="0" w:space="0" w:color="auto"/>
        <w:right w:val="none" w:sz="0" w:space="0" w:color="auto"/>
      </w:divBdr>
      <w:divsChild>
        <w:div w:id="1533956616">
          <w:marLeft w:val="0"/>
          <w:marRight w:val="0"/>
          <w:marTop w:val="0"/>
          <w:marBottom w:val="0"/>
          <w:divBdr>
            <w:top w:val="none" w:sz="0" w:space="0" w:color="auto"/>
            <w:left w:val="none" w:sz="0" w:space="0" w:color="auto"/>
            <w:bottom w:val="none" w:sz="0" w:space="0" w:color="auto"/>
            <w:right w:val="none" w:sz="0" w:space="0" w:color="auto"/>
          </w:divBdr>
        </w:div>
        <w:div w:id="498425884">
          <w:marLeft w:val="0"/>
          <w:marRight w:val="0"/>
          <w:marTop w:val="0"/>
          <w:marBottom w:val="0"/>
          <w:divBdr>
            <w:top w:val="none" w:sz="0" w:space="0" w:color="auto"/>
            <w:left w:val="none" w:sz="0" w:space="0" w:color="auto"/>
            <w:bottom w:val="none" w:sz="0" w:space="0" w:color="auto"/>
            <w:right w:val="none" w:sz="0" w:space="0" w:color="auto"/>
          </w:divBdr>
        </w:div>
        <w:div w:id="1031759563">
          <w:marLeft w:val="0"/>
          <w:marRight w:val="0"/>
          <w:marTop w:val="0"/>
          <w:marBottom w:val="0"/>
          <w:divBdr>
            <w:top w:val="none" w:sz="0" w:space="0" w:color="auto"/>
            <w:left w:val="none" w:sz="0" w:space="0" w:color="auto"/>
            <w:bottom w:val="none" w:sz="0" w:space="0" w:color="auto"/>
            <w:right w:val="none" w:sz="0" w:space="0" w:color="auto"/>
          </w:divBdr>
        </w:div>
        <w:div w:id="305401727">
          <w:marLeft w:val="0"/>
          <w:marRight w:val="0"/>
          <w:marTop w:val="0"/>
          <w:marBottom w:val="0"/>
          <w:divBdr>
            <w:top w:val="none" w:sz="0" w:space="0" w:color="auto"/>
            <w:left w:val="none" w:sz="0" w:space="0" w:color="auto"/>
            <w:bottom w:val="none" w:sz="0" w:space="0" w:color="auto"/>
            <w:right w:val="none" w:sz="0" w:space="0" w:color="auto"/>
          </w:divBdr>
        </w:div>
        <w:div w:id="62338481">
          <w:marLeft w:val="0"/>
          <w:marRight w:val="0"/>
          <w:marTop w:val="0"/>
          <w:marBottom w:val="0"/>
          <w:divBdr>
            <w:top w:val="none" w:sz="0" w:space="0" w:color="auto"/>
            <w:left w:val="none" w:sz="0" w:space="0" w:color="auto"/>
            <w:bottom w:val="none" w:sz="0" w:space="0" w:color="auto"/>
            <w:right w:val="none" w:sz="0" w:space="0" w:color="auto"/>
          </w:divBdr>
        </w:div>
      </w:divsChild>
    </w:div>
    <w:div w:id="1859930650">
      <w:bodyDiv w:val="1"/>
      <w:marLeft w:val="0"/>
      <w:marRight w:val="0"/>
      <w:marTop w:val="0"/>
      <w:marBottom w:val="0"/>
      <w:divBdr>
        <w:top w:val="none" w:sz="0" w:space="0" w:color="auto"/>
        <w:left w:val="none" w:sz="0" w:space="0" w:color="auto"/>
        <w:bottom w:val="none" w:sz="0" w:space="0" w:color="auto"/>
        <w:right w:val="none" w:sz="0" w:space="0" w:color="auto"/>
      </w:divBdr>
    </w:div>
    <w:div w:id="1887837316">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
        <w:div w:id="1225797078">
          <w:marLeft w:val="0"/>
          <w:marRight w:val="0"/>
          <w:marTop w:val="0"/>
          <w:marBottom w:val="0"/>
          <w:divBdr>
            <w:top w:val="none" w:sz="0" w:space="0" w:color="auto"/>
            <w:left w:val="none" w:sz="0" w:space="0" w:color="auto"/>
            <w:bottom w:val="none" w:sz="0" w:space="0" w:color="auto"/>
            <w:right w:val="none" w:sz="0" w:space="0" w:color="auto"/>
          </w:divBdr>
        </w:div>
      </w:divsChild>
    </w:div>
    <w:div w:id="1904220565">
      <w:bodyDiv w:val="1"/>
      <w:marLeft w:val="0"/>
      <w:marRight w:val="0"/>
      <w:marTop w:val="0"/>
      <w:marBottom w:val="0"/>
      <w:divBdr>
        <w:top w:val="none" w:sz="0" w:space="0" w:color="auto"/>
        <w:left w:val="none" w:sz="0" w:space="0" w:color="auto"/>
        <w:bottom w:val="none" w:sz="0" w:space="0" w:color="auto"/>
        <w:right w:val="none" w:sz="0" w:space="0" w:color="auto"/>
      </w:divBdr>
    </w:div>
    <w:div w:id="1924757832">
      <w:bodyDiv w:val="1"/>
      <w:marLeft w:val="0"/>
      <w:marRight w:val="0"/>
      <w:marTop w:val="0"/>
      <w:marBottom w:val="0"/>
      <w:divBdr>
        <w:top w:val="none" w:sz="0" w:space="0" w:color="auto"/>
        <w:left w:val="none" w:sz="0" w:space="0" w:color="auto"/>
        <w:bottom w:val="none" w:sz="0" w:space="0" w:color="auto"/>
        <w:right w:val="none" w:sz="0" w:space="0" w:color="auto"/>
      </w:divBdr>
    </w:div>
    <w:div w:id="1943148628">
      <w:bodyDiv w:val="1"/>
      <w:marLeft w:val="0"/>
      <w:marRight w:val="0"/>
      <w:marTop w:val="0"/>
      <w:marBottom w:val="0"/>
      <w:divBdr>
        <w:top w:val="none" w:sz="0" w:space="0" w:color="auto"/>
        <w:left w:val="none" w:sz="0" w:space="0" w:color="auto"/>
        <w:bottom w:val="none" w:sz="0" w:space="0" w:color="auto"/>
        <w:right w:val="none" w:sz="0" w:space="0" w:color="auto"/>
      </w:divBdr>
      <w:divsChild>
        <w:div w:id="139614038">
          <w:marLeft w:val="0"/>
          <w:marRight w:val="0"/>
          <w:marTop w:val="0"/>
          <w:marBottom w:val="0"/>
          <w:divBdr>
            <w:top w:val="none" w:sz="0" w:space="0" w:color="auto"/>
            <w:left w:val="none" w:sz="0" w:space="0" w:color="auto"/>
            <w:bottom w:val="none" w:sz="0" w:space="0" w:color="auto"/>
            <w:right w:val="none" w:sz="0" w:space="0" w:color="auto"/>
          </w:divBdr>
        </w:div>
        <w:div w:id="301423815">
          <w:marLeft w:val="0"/>
          <w:marRight w:val="0"/>
          <w:marTop w:val="0"/>
          <w:marBottom w:val="0"/>
          <w:divBdr>
            <w:top w:val="none" w:sz="0" w:space="0" w:color="auto"/>
            <w:left w:val="none" w:sz="0" w:space="0" w:color="auto"/>
            <w:bottom w:val="none" w:sz="0" w:space="0" w:color="auto"/>
            <w:right w:val="none" w:sz="0" w:space="0" w:color="auto"/>
          </w:divBdr>
        </w:div>
      </w:divsChild>
    </w:div>
    <w:div w:id="203195567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8">
          <w:marLeft w:val="0"/>
          <w:marRight w:val="0"/>
          <w:marTop w:val="0"/>
          <w:marBottom w:val="0"/>
          <w:divBdr>
            <w:top w:val="none" w:sz="0" w:space="0" w:color="auto"/>
            <w:left w:val="none" w:sz="0" w:space="0" w:color="auto"/>
            <w:bottom w:val="none" w:sz="0" w:space="0" w:color="auto"/>
            <w:right w:val="none" w:sz="0" w:space="0" w:color="auto"/>
          </w:divBdr>
        </w:div>
        <w:div w:id="612784639">
          <w:marLeft w:val="0"/>
          <w:marRight w:val="0"/>
          <w:marTop w:val="0"/>
          <w:marBottom w:val="0"/>
          <w:divBdr>
            <w:top w:val="none" w:sz="0" w:space="0" w:color="auto"/>
            <w:left w:val="none" w:sz="0" w:space="0" w:color="auto"/>
            <w:bottom w:val="none" w:sz="0" w:space="0" w:color="auto"/>
            <w:right w:val="none" w:sz="0" w:space="0" w:color="auto"/>
          </w:divBdr>
        </w:div>
        <w:div w:id="1003509442">
          <w:marLeft w:val="0"/>
          <w:marRight w:val="0"/>
          <w:marTop w:val="0"/>
          <w:marBottom w:val="0"/>
          <w:divBdr>
            <w:top w:val="none" w:sz="0" w:space="0" w:color="auto"/>
            <w:left w:val="none" w:sz="0" w:space="0" w:color="auto"/>
            <w:bottom w:val="none" w:sz="0" w:space="0" w:color="auto"/>
            <w:right w:val="none" w:sz="0" w:space="0" w:color="auto"/>
          </w:divBdr>
        </w:div>
        <w:div w:id="2086418879">
          <w:marLeft w:val="0"/>
          <w:marRight w:val="0"/>
          <w:marTop w:val="0"/>
          <w:marBottom w:val="0"/>
          <w:divBdr>
            <w:top w:val="none" w:sz="0" w:space="0" w:color="auto"/>
            <w:left w:val="none" w:sz="0" w:space="0" w:color="auto"/>
            <w:bottom w:val="none" w:sz="0" w:space="0" w:color="auto"/>
            <w:right w:val="none" w:sz="0" w:space="0" w:color="auto"/>
          </w:divBdr>
        </w:div>
      </w:divsChild>
    </w:div>
    <w:div w:id="20791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2019L19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87C2-914C-4B9A-9434-7052ABD8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12492</Words>
  <Characters>74955</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Kisiel-Geisler</dc:creator>
  <cp:lastModifiedBy>Praca zdalna</cp:lastModifiedBy>
  <cp:revision>3</cp:revision>
  <dcterms:created xsi:type="dcterms:W3CDTF">2021-10-13T11:09:00Z</dcterms:created>
  <dcterms:modified xsi:type="dcterms:W3CDTF">2021-10-14T08:13:00Z</dcterms:modified>
</cp:coreProperties>
</file>