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643"/>
        <w:gridCol w:w="181"/>
        <w:gridCol w:w="244"/>
        <w:gridCol w:w="351"/>
        <w:gridCol w:w="531"/>
        <w:gridCol w:w="149"/>
        <w:gridCol w:w="190"/>
        <w:gridCol w:w="519"/>
        <w:gridCol w:w="418"/>
        <w:gridCol w:w="136"/>
        <w:gridCol w:w="152"/>
        <w:gridCol w:w="650"/>
        <w:gridCol w:w="59"/>
        <w:gridCol w:w="708"/>
        <w:gridCol w:w="100"/>
        <w:gridCol w:w="71"/>
        <w:gridCol w:w="537"/>
        <w:gridCol w:w="400"/>
        <w:gridCol w:w="309"/>
        <w:gridCol w:w="10"/>
        <w:gridCol w:w="619"/>
        <w:gridCol w:w="80"/>
        <w:gridCol w:w="708"/>
        <w:gridCol w:w="150"/>
        <w:gridCol w:w="559"/>
        <w:gridCol w:w="876"/>
        <w:gridCol w:w="10"/>
      </w:tblGrid>
      <w:tr w:rsidR="002251FE" w:rsidRPr="008B4FE6" w14:paraId="76D63017" w14:textId="77777777" w:rsidTr="009874C5">
        <w:trPr>
          <w:gridAfter w:val="1"/>
          <w:wAfter w:w="10" w:type="dxa"/>
          <w:trHeight w:val="1611"/>
        </w:trPr>
        <w:tc>
          <w:tcPr>
            <w:tcW w:w="6618" w:type="dxa"/>
            <w:gridSpan w:val="16"/>
          </w:tcPr>
          <w:p w14:paraId="5185B212" w14:textId="77777777" w:rsidR="002251FE" w:rsidRPr="008B4FE6" w:rsidRDefault="002251FE" w:rsidP="00661217">
            <w:pPr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10D4DE9" w14:textId="77777777" w:rsidR="00D726AF" w:rsidRPr="00520413" w:rsidRDefault="00661217" w:rsidP="0052041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B7230">
              <w:rPr>
                <w:rFonts w:ascii="Times New Roman" w:hAnsi="Times New Roman"/>
              </w:rPr>
              <w:t>R</w:t>
            </w:r>
            <w:r w:rsidR="002251FE" w:rsidRPr="00AB7230">
              <w:rPr>
                <w:rFonts w:ascii="Times New Roman" w:hAnsi="Times New Roman"/>
              </w:rPr>
              <w:t>ozporządzeni</w:t>
            </w:r>
            <w:r w:rsidRPr="00AB7230">
              <w:rPr>
                <w:rFonts w:ascii="Times New Roman" w:hAnsi="Times New Roman"/>
              </w:rPr>
              <w:t xml:space="preserve">e </w:t>
            </w:r>
            <w:r w:rsidR="004B22F2">
              <w:rPr>
                <w:rFonts w:ascii="Times New Roman" w:hAnsi="Times New Roman"/>
              </w:rPr>
              <w:t xml:space="preserve">Rady </w:t>
            </w:r>
            <w:r w:rsidRPr="00AB7230">
              <w:rPr>
                <w:rFonts w:ascii="Times New Roman" w:hAnsi="Times New Roman"/>
              </w:rPr>
              <w:t>Ministrów</w:t>
            </w:r>
            <w:r w:rsidR="002251FE" w:rsidRPr="00AB7230">
              <w:rPr>
                <w:rFonts w:ascii="Times New Roman" w:hAnsi="Times New Roman"/>
              </w:rPr>
              <w:t xml:space="preserve"> </w:t>
            </w:r>
            <w:r w:rsidR="004B22F2">
              <w:rPr>
                <w:rFonts w:ascii="Times New Roman" w:hAnsi="Times New Roman"/>
              </w:rPr>
              <w:t xml:space="preserve">zmieniające rozporządzenie w sprawie świadczeń socjalnych </w:t>
            </w:r>
            <w:r w:rsidR="00EC4C3F" w:rsidRPr="00520413">
              <w:rPr>
                <w:rFonts w:ascii="Times New Roman" w:hAnsi="Times New Roman"/>
              </w:rPr>
              <w:t xml:space="preserve">funkcjonariuszy </w:t>
            </w:r>
            <w:r w:rsidR="00AB7230" w:rsidRPr="00520413">
              <w:rPr>
                <w:rFonts w:ascii="Times New Roman" w:hAnsi="Times New Roman"/>
              </w:rPr>
              <w:t xml:space="preserve">Służby Celno-Skarbowej </w:t>
            </w:r>
            <w:r w:rsidR="004B22F2">
              <w:rPr>
                <w:rFonts w:ascii="Times New Roman" w:hAnsi="Times New Roman"/>
              </w:rPr>
              <w:t>i członków ich rodzin</w:t>
            </w:r>
          </w:p>
          <w:p w14:paraId="4672904D" w14:textId="77777777" w:rsidR="002251FE" w:rsidRPr="008B4FE6" w:rsidRDefault="002251FE" w:rsidP="0066121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3416BDB4" w14:textId="77777777" w:rsidR="002251FE" w:rsidRPr="00A82517" w:rsidRDefault="002251FE" w:rsidP="006612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2517"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14:paraId="67787329" w14:textId="77777777" w:rsidR="002251FE" w:rsidRDefault="002251FE" w:rsidP="00661217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12E6E4C2" w14:textId="77777777" w:rsidR="002251FE" w:rsidRPr="00642825" w:rsidRDefault="002251FE" w:rsidP="0066121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EE2996E" w14:textId="52205716" w:rsidR="002251FE" w:rsidRPr="00A82517" w:rsidRDefault="00520413" w:rsidP="006612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Marian Banaś</w:t>
            </w:r>
            <w:r w:rsidR="0038195B">
              <w:rPr>
                <w:rFonts w:ascii="Times New Roman" w:hAnsi="Times New Roman"/>
              </w:rPr>
              <w:t xml:space="preserve"> –</w:t>
            </w:r>
            <w:r w:rsidR="002251FE" w:rsidRPr="00A825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2251FE" w:rsidRPr="00A82517">
              <w:rPr>
                <w:rFonts w:ascii="Times New Roman" w:hAnsi="Times New Roman"/>
              </w:rPr>
              <w:t>ekretarz Stanu</w:t>
            </w:r>
            <w:r w:rsidR="00260F85">
              <w:rPr>
                <w:rFonts w:ascii="Times New Roman" w:hAnsi="Times New Roman"/>
              </w:rPr>
              <w:t xml:space="preserve"> w Ministerstwie Finansów</w:t>
            </w:r>
          </w:p>
          <w:p w14:paraId="1624D838" w14:textId="77777777" w:rsidR="002251FE" w:rsidRDefault="002251FE" w:rsidP="0066121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E87AC38" w14:textId="77777777" w:rsidR="002251FE" w:rsidRPr="008B4FE6" w:rsidRDefault="002251FE" w:rsidP="0066121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5E6ABF2" w14:textId="77777777" w:rsidR="00520413" w:rsidRDefault="00520413" w:rsidP="005204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Krzysztof Stanisławski Dyrektor Departamentu Organizacji i Wdrożeń</w:t>
            </w:r>
          </w:p>
          <w:p w14:paraId="0D5F4752" w14:textId="77777777" w:rsidR="002251FE" w:rsidRPr="00D5485D" w:rsidRDefault="00520413" w:rsidP="00520413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7535E">
              <w:rPr>
                <w:rFonts w:ascii="Times New Roman" w:hAnsi="Times New Roman"/>
                <w:color w:val="000000"/>
                <w:lang w:val="en-US"/>
              </w:rPr>
              <w:t>Tel.: 022 694 30 93, e-mail: krzysztof.stanislawski@mf.gov.pl</w:t>
            </w:r>
            <w:r w:rsidR="00AB7230" w:rsidRPr="0057535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19" w:type="dxa"/>
            <w:gridSpan w:val="11"/>
            <w:shd w:val="clear" w:color="auto" w:fill="FFFFFF"/>
          </w:tcPr>
          <w:p w14:paraId="1B3FD78E" w14:textId="77777777" w:rsidR="007B3FC1" w:rsidRDefault="002251FE" w:rsidP="002251F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7B3D0FFD" w14:textId="4B0C7E0A" w:rsidR="002251FE" w:rsidRPr="00642825" w:rsidRDefault="001245EB" w:rsidP="002251F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30</w:t>
            </w:r>
            <w:r w:rsidR="009A769B" w:rsidRPr="00AB7230">
              <w:rPr>
                <w:rFonts w:ascii="Times New Roman" w:hAnsi="Times New Roman"/>
              </w:rPr>
              <w:t>.</w:t>
            </w:r>
            <w:r w:rsidR="00AE2CCF">
              <w:rPr>
                <w:rFonts w:ascii="Times New Roman" w:hAnsi="Times New Roman"/>
              </w:rPr>
              <w:t>10</w:t>
            </w:r>
            <w:r w:rsidR="00023142" w:rsidRPr="00AB7230">
              <w:rPr>
                <w:rFonts w:ascii="Times New Roman" w:hAnsi="Times New Roman"/>
              </w:rPr>
              <w:t>.</w:t>
            </w:r>
            <w:r w:rsidR="00AB7230" w:rsidRPr="00AB7230">
              <w:rPr>
                <w:rFonts w:ascii="Times New Roman" w:hAnsi="Times New Roman"/>
              </w:rPr>
              <w:t>2018</w:t>
            </w:r>
            <w:r w:rsidR="002251FE" w:rsidRPr="00AB7230">
              <w:rPr>
                <w:rFonts w:ascii="Times New Roman" w:hAnsi="Times New Roman"/>
              </w:rPr>
              <w:t xml:space="preserve"> r.</w:t>
            </w:r>
          </w:p>
          <w:p w14:paraId="709B5FF5" w14:textId="77777777" w:rsidR="002251FE" w:rsidRDefault="002251FE" w:rsidP="002251F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3BD2E5F" w14:textId="77777777" w:rsidR="002251FE" w:rsidRPr="0065019F" w:rsidRDefault="002251FE" w:rsidP="002251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5BA8A96F" w14:textId="77777777" w:rsidR="002251FE" w:rsidRPr="00661217" w:rsidRDefault="00F43CA4" w:rsidP="00CD6E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1217">
              <w:rPr>
                <w:rFonts w:ascii="Times New Roman" w:hAnsi="Times New Roman"/>
              </w:rPr>
              <w:t xml:space="preserve">Upoważnienie ustawowe – art. </w:t>
            </w:r>
            <w:r w:rsidR="00F67133">
              <w:rPr>
                <w:rFonts w:ascii="Times New Roman" w:hAnsi="Times New Roman"/>
              </w:rPr>
              <w:t>2</w:t>
            </w:r>
            <w:r w:rsidR="004B22F2">
              <w:rPr>
                <w:rFonts w:ascii="Times New Roman" w:hAnsi="Times New Roman"/>
              </w:rPr>
              <w:t>12</w:t>
            </w:r>
            <w:r w:rsidR="00D5485D">
              <w:rPr>
                <w:rFonts w:ascii="Times New Roman" w:hAnsi="Times New Roman"/>
              </w:rPr>
              <w:t xml:space="preserve"> ust. </w:t>
            </w:r>
            <w:r w:rsidR="004B22F2">
              <w:rPr>
                <w:rFonts w:ascii="Times New Roman" w:hAnsi="Times New Roman"/>
              </w:rPr>
              <w:t>2</w:t>
            </w:r>
            <w:r w:rsidRPr="00661217">
              <w:rPr>
                <w:rFonts w:ascii="Times New Roman" w:hAnsi="Times New Roman"/>
              </w:rPr>
              <w:t xml:space="preserve"> u</w:t>
            </w:r>
            <w:r w:rsidR="0027046A" w:rsidRPr="00661217">
              <w:rPr>
                <w:rFonts w:ascii="Times New Roman" w:hAnsi="Times New Roman"/>
              </w:rPr>
              <w:t>staw</w:t>
            </w:r>
            <w:r w:rsidRPr="00661217">
              <w:rPr>
                <w:rFonts w:ascii="Times New Roman" w:hAnsi="Times New Roman"/>
              </w:rPr>
              <w:t>y</w:t>
            </w:r>
            <w:r w:rsidR="0027046A" w:rsidRPr="00661217">
              <w:rPr>
                <w:rFonts w:ascii="Times New Roman" w:hAnsi="Times New Roman"/>
              </w:rPr>
              <w:t xml:space="preserve"> z dnia </w:t>
            </w:r>
            <w:r w:rsidR="00F67133">
              <w:rPr>
                <w:rFonts w:ascii="Times New Roman" w:hAnsi="Times New Roman"/>
              </w:rPr>
              <w:t>16</w:t>
            </w:r>
            <w:r w:rsidR="0027046A" w:rsidRPr="00661217">
              <w:rPr>
                <w:rFonts w:ascii="Times New Roman" w:hAnsi="Times New Roman"/>
              </w:rPr>
              <w:t xml:space="preserve"> </w:t>
            </w:r>
            <w:r w:rsidR="00F67133">
              <w:rPr>
                <w:rFonts w:ascii="Times New Roman" w:hAnsi="Times New Roman"/>
              </w:rPr>
              <w:t>listopada</w:t>
            </w:r>
            <w:r w:rsidR="0027046A" w:rsidRPr="00661217">
              <w:rPr>
                <w:rFonts w:ascii="Times New Roman" w:hAnsi="Times New Roman"/>
              </w:rPr>
              <w:t xml:space="preserve"> 20</w:t>
            </w:r>
            <w:r w:rsidR="00F67133">
              <w:rPr>
                <w:rFonts w:ascii="Times New Roman" w:hAnsi="Times New Roman"/>
              </w:rPr>
              <w:t>16</w:t>
            </w:r>
            <w:r w:rsidR="0027046A" w:rsidRPr="00661217">
              <w:rPr>
                <w:rFonts w:ascii="Times New Roman" w:hAnsi="Times New Roman"/>
              </w:rPr>
              <w:t xml:space="preserve"> r. o </w:t>
            </w:r>
            <w:r w:rsidR="00F67133">
              <w:rPr>
                <w:rFonts w:ascii="Times New Roman" w:hAnsi="Times New Roman"/>
              </w:rPr>
              <w:t>Krajowej Administracji Skarbowej</w:t>
            </w:r>
            <w:r w:rsidR="0027046A" w:rsidRPr="00661217">
              <w:rPr>
                <w:rFonts w:ascii="Times New Roman" w:hAnsi="Times New Roman"/>
              </w:rPr>
              <w:t xml:space="preserve"> (</w:t>
            </w:r>
            <w:r w:rsidR="00661217" w:rsidRPr="00661217">
              <w:rPr>
                <w:rFonts w:ascii="Times New Roman" w:hAnsi="Times New Roman"/>
              </w:rPr>
              <w:t xml:space="preserve">Dz. U. </w:t>
            </w:r>
            <w:r w:rsidR="00520413">
              <w:rPr>
                <w:rFonts w:ascii="Times New Roman" w:hAnsi="Times New Roman"/>
              </w:rPr>
              <w:t xml:space="preserve">z 2018 r. </w:t>
            </w:r>
            <w:r w:rsidR="00661217" w:rsidRPr="00661217">
              <w:rPr>
                <w:rFonts w:ascii="Times New Roman" w:hAnsi="Times New Roman"/>
              </w:rPr>
              <w:t xml:space="preserve">poz. </w:t>
            </w:r>
            <w:r w:rsidR="00520413">
              <w:rPr>
                <w:rFonts w:ascii="Times New Roman" w:hAnsi="Times New Roman"/>
              </w:rPr>
              <w:t>508</w:t>
            </w:r>
            <w:r w:rsidR="00661217" w:rsidRPr="00661217">
              <w:rPr>
                <w:rFonts w:ascii="Times New Roman" w:hAnsi="Times New Roman"/>
              </w:rPr>
              <w:t>, z późn. zm.</w:t>
            </w:r>
            <w:r w:rsidR="0027046A" w:rsidRPr="00661217">
              <w:rPr>
                <w:rFonts w:ascii="Times New Roman" w:hAnsi="Times New Roman"/>
              </w:rPr>
              <w:t>)</w:t>
            </w:r>
            <w:r w:rsidR="007314FA" w:rsidRPr="00661217">
              <w:rPr>
                <w:rFonts w:ascii="Times New Roman" w:hAnsi="Times New Roman"/>
              </w:rPr>
              <w:t>.</w:t>
            </w:r>
          </w:p>
          <w:p w14:paraId="7078E6A1" w14:textId="77777777" w:rsidR="002251FE" w:rsidRPr="0065019F" w:rsidRDefault="002251FE" w:rsidP="002251FE">
            <w:pPr>
              <w:spacing w:line="240" w:lineRule="auto"/>
              <w:rPr>
                <w:rFonts w:ascii="Times New Roman" w:hAnsi="Times New Roman"/>
              </w:rPr>
            </w:pPr>
          </w:p>
          <w:p w14:paraId="21F46394" w14:textId="7652A60D" w:rsidR="009E67B5" w:rsidRPr="00263146" w:rsidRDefault="002251FE" w:rsidP="00B418E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3375B">
              <w:rPr>
                <w:rFonts w:ascii="Times New Roman" w:hAnsi="Times New Roman"/>
                <w:b/>
                <w:color w:val="000000"/>
              </w:rPr>
              <w:t>Nr</w:t>
            </w:r>
            <w:r w:rsidR="004B22F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B433C">
              <w:rPr>
                <w:rFonts w:ascii="Times New Roman" w:hAnsi="Times New Roman"/>
                <w:b/>
                <w:color w:val="000000"/>
              </w:rPr>
              <w:t xml:space="preserve">RD437 </w:t>
            </w:r>
            <w:r w:rsidRPr="004B22F2">
              <w:rPr>
                <w:rFonts w:ascii="Times New Roman" w:hAnsi="Times New Roman"/>
                <w:color w:val="000000"/>
              </w:rPr>
              <w:t>w wykazie prac</w:t>
            </w:r>
            <w:r w:rsidR="0013375B" w:rsidRPr="004B22F2">
              <w:rPr>
                <w:rFonts w:ascii="Times New Roman" w:hAnsi="Times New Roman"/>
                <w:color w:val="000000"/>
              </w:rPr>
              <w:t xml:space="preserve"> </w:t>
            </w:r>
            <w:r w:rsidR="004B22F2" w:rsidRPr="004B22F2">
              <w:rPr>
                <w:rFonts w:ascii="Times New Roman" w:hAnsi="Times New Roman"/>
                <w:color w:val="000000"/>
              </w:rPr>
              <w:t>legislacyjnych i programowych Rady Ministrów</w:t>
            </w:r>
          </w:p>
          <w:p w14:paraId="25638AF2" w14:textId="77777777" w:rsidR="002251FE" w:rsidRPr="00D230D6" w:rsidRDefault="002251FE" w:rsidP="001337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1FE" w:rsidRPr="0022687A" w14:paraId="1FA0A556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1FFDBD1" w14:textId="77777777" w:rsidR="002251FE" w:rsidRPr="00627221" w:rsidRDefault="002251FE" w:rsidP="002251F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251FE" w:rsidRPr="008B4FE6" w14:paraId="4E7B9809" w14:textId="77777777" w:rsidTr="002251FE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0F3A7DC" w14:textId="77777777" w:rsidR="002251FE" w:rsidRPr="008B4FE6" w:rsidRDefault="002251FE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251FE" w:rsidRPr="00281149" w14:paraId="6F907741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0B6A3337" w14:textId="4EDCD8BF" w:rsidR="008F3BD7" w:rsidRPr="00520413" w:rsidRDefault="008F3BD7" w:rsidP="00BA2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0413">
              <w:rPr>
                <w:rFonts w:ascii="Times New Roman" w:hAnsi="Times New Roman"/>
                <w:color w:val="000000"/>
              </w:rPr>
              <w:t xml:space="preserve">Projekt rozporządzenia </w:t>
            </w:r>
            <w:r>
              <w:rPr>
                <w:rFonts w:ascii="Times New Roman" w:hAnsi="Times New Roman"/>
              </w:rPr>
              <w:t xml:space="preserve">stanowi nowelizację rozporządzenia Rady Ministrów </w:t>
            </w:r>
            <w:r w:rsidR="009E67B5">
              <w:rPr>
                <w:rFonts w:ascii="Times New Roman" w:hAnsi="Times New Roman"/>
              </w:rPr>
              <w:t xml:space="preserve">z dnia 21 grudnia 2017 r. </w:t>
            </w:r>
            <w:r>
              <w:rPr>
                <w:rFonts w:ascii="Times New Roman" w:hAnsi="Times New Roman"/>
              </w:rPr>
              <w:t xml:space="preserve">w sprawie świadczeń socjalnych </w:t>
            </w:r>
            <w:r w:rsidRPr="00520413">
              <w:rPr>
                <w:rFonts w:ascii="Times New Roman" w:hAnsi="Times New Roman"/>
              </w:rPr>
              <w:t xml:space="preserve">funkcjonariuszy Służby Celno-Skarbowej </w:t>
            </w:r>
            <w:r>
              <w:rPr>
                <w:rFonts w:ascii="Times New Roman" w:hAnsi="Times New Roman"/>
              </w:rPr>
              <w:t xml:space="preserve">i członków ich rodzin </w:t>
            </w:r>
            <w:r>
              <w:rPr>
                <w:rFonts w:ascii="Times New Roman" w:hAnsi="Times New Roman"/>
                <w:color w:val="000000"/>
              </w:rPr>
              <w:t>(Dz. U. poz. 2489).</w:t>
            </w:r>
          </w:p>
          <w:p w14:paraId="2E5F4B0E" w14:textId="1EBC8FF6" w:rsidR="007D0FCB" w:rsidRDefault="008F3B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2249">
              <w:rPr>
                <w:rFonts w:ascii="Times New Roman" w:hAnsi="Times New Roman"/>
                <w:color w:val="000000"/>
              </w:rPr>
              <w:t xml:space="preserve">Proponowane zmiany rozporządzenia polegają na objęciu świadczeniem w postaci dopłaty do wypoczynku dzieci niepełnosprawnych bez względu na wiek. </w:t>
            </w:r>
            <w:r w:rsidR="007D0FCB">
              <w:rPr>
                <w:rFonts w:ascii="Times New Roman" w:hAnsi="Times New Roman"/>
                <w:color w:val="000000"/>
              </w:rPr>
              <w:t xml:space="preserve">Należy zaznaczyć, że </w:t>
            </w:r>
            <w:r w:rsidRPr="005F2249">
              <w:rPr>
                <w:rFonts w:ascii="Times New Roman" w:hAnsi="Times New Roman"/>
                <w:color w:val="000000"/>
              </w:rPr>
              <w:t>Ministerstwo Rodziny, Pracy i Polityki Społecznej na etapie uzgodnień międzyresortowych prowadzonych w 201</w:t>
            </w:r>
            <w:r w:rsidR="009E67B5">
              <w:rPr>
                <w:rFonts w:ascii="Times New Roman" w:hAnsi="Times New Roman"/>
                <w:color w:val="000000"/>
              </w:rPr>
              <w:t>7</w:t>
            </w:r>
            <w:r w:rsidR="00263146">
              <w:rPr>
                <w:rFonts w:ascii="Times New Roman" w:hAnsi="Times New Roman"/>
                <w:color w:val="000000"/>
              </w:rPr>
              <w:t xml:space="preserve"> r. obowiązującego rozporządzenia</w:t>
            </w:r>
            <w:r w:rsidR="007D0FCB">
              <w:rPr>
                <w:rFonts w:ascii="Times New Roman" w:hAnsi="Times New Roman"/>
                <w:color w:val="000000"/>
              </w:rPr>
              <w:t>,</w:t>
            </w:r>
            <w:r w:rsidR="00263146">
              <w:rPr>
                <w:rFonts w:ascii="Times New Roman" w:hAnsi="Times New Roman"/>
                <w:color w:val="000000"/>
              </w:rPr>
              <w:t xml:space="preserve"> </w:t>
            </w:r>
            <w:r w:rsidRPr="005F2249">
              <w:rPr>
                <w:rFonts w:ascii="Times New Roman" w:hAnsi="Times New Roman"/>
                <w:color w:val="000000"/>
              </w:rPr>
              <w:t>zgłosiło propozycję objęcia świadczeniem w postaci dopłaty do wypoczynku dzieci niepełn</w:t>
            </w:r>
            <w:r>
              <w:rPr>
                <w:rFonts w:ascii="Times New Roman" w:hAnsi="Times New Roman"/>
                <w:color w:val="000000"/>
              </w:rPr>
              <w:t xml:space="preserve">osprawnych bez względu na wiek. </w:t>
            </w:r>
            <w:r w:rsidRPr="005F2249">
              <w:rPr>
                <w:rFonts w:ascii="Times New Roman" w:hAnsi="Times New Roman"/>
                <w:color w:val="000000"/>
              </w:rPr>
              <w:t xml:space="preserve">Ze względu na zaawansowany etap prac nad projektem ustawy budżetowej na rok 2018 oraz brak możliwości pokrycia wydatków związanych z realizacją ww. propozycji, nie było możliwe wprowadzenie wyżej wspomnianych postulatów </w:t>
            </w:r>
            <w:r w:rsidR="00263146">
              <w:rPr>
                <w:rFonts w:ascii="Times New Roman" w:hAnsi="Times New Roman"/>
                <w:color w:val="000000"/>
              </w:rPr>
              <w:br/>
            </w:r>
            <w:r w:rsidRPr="005F2249">
              <w:rPr>
                <w:rFonts w:ascii="Times New Roman" w:hAnsi="Times New Roman"/>
                <w:color w:val="000000"/>
              </w:rPr>
              <w:t>w rozporządzeniu Rady Ministrów z dnia 21 grudnia 2017 r. w sprawie świadczeń socjalnych funkcjonariuszy Służby Celno-Skarbowej i członków ich rodzin.</w:t>
            </w:r>
          </w:p>
          <w:p w14:paraId="36B19633" w14:textId="77777777" w:rsidR="0028689F" w:rsidRDefault="009E67B5" w:rsidP="0028689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2249">
              <w:rPr>
                <w:rFonts w:ascii="Times New Roman" w:hAnsi="Times New Roman"/>
                <w:color w:val="000000"/>
              </w:rPr>
              <w:t xml:space="preserve">W projekcie rozporządzenia proponuje się </w:t>
            </w:r>
            <w:r>
              <w:rPr>
                <w:rFonts w:ascii="Times New Roman" w:hAnsi="Times New Roman"/>
                <w:color w:val="000000"/>
              </w:rPr>
              <w:t xml:space="preserve">również </w:t>
            </w:r>
            <w:r w:rsidRPr="005F2249">
              <w:rPr>
                <w:rFonts w:ascii="Times New Roman" w:hAnsi="Times New Roman"/>
                <w:color w:val="000000"/>
              </w:rPr>
              <w:t>zwiększenie wysokości wskaźnika obliczenia dopłaty do wypoczynku, przysługującej funkcjonariuszom Służby Celno-Skarbowej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2249">
              <w:rPr>
                <w:rFonts w:ascii="Times New Roman" w:hAnsi="Times New Roman"/>
                <w:color w:val="000000"/>
              </w:rPr>
              <w:t xml:space="preserve">i członkom ich rodzin. Obecnie obowiązująca kwota dopłaty do wypoczynku funkcjonariuszy Służby Celno-Skarbowej (w wysokości 239,50 zł) znacznie odbiega od wysokości dopłaty do wypoczynku, przysługującej funkcjonariuszom innych służb mundurowych. </w:t>
            </w:r>
            <w:r w:rsidR="0028689F">
              <w:rPr>
                <w:rFonts w:ascii="Times New Roman" w:hAnsi="Times New Roman"/>
                <w:color w:val="000000"/>
              </w:rPr>
              <w:t>Dla porównania aktualna kwota dopłaty do wypoczynku funkcjonariuszy Policji wynosi 402,00 zł, natomiast funkcjonariuszy Straży Granicznej - od ok. 509 zł</w:t>
            </w:r>
            <w:r w:rsidR="0028689F" w:rsidRPr="005F2249">
              <w:rPr>
                <w:rFonts w:ascii="Times New Roman" w:hAnsi="Times New Roman"/>
                <w:color w:val="000000"/>
              </w:rPr>
              <w:t xml:space="preserve"> </w:t>
            </w:r>
            <w:r w:rsidR="0028689F">
              <w:rPr>
                <w:rFonts w:ascii="Times New Roman" w:hAnsi="Times New Roman"/>
                <w:color w:val="000000"/>
              </w:rPr>
              <w:t>wzwyż (w zależności od wysokości obowiązującej w dniu 1 stycznia najniższej stawki uposażenia zasadniczego).</w:t>
            </w:r>
          </w:p>
          <w:p w14:paraId="5083E90D" w14:textId="50112E34" w:rsidR="0038195B" w:rsidRDefault="0028689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Nowelizacja ma więc</w:t>
            </w:r>
            <w:r w:rsidRPr="005F2249">
              <w:rPr>
                <w:rFonts w:ascii="Times New Roman" w:hAnsi="Times New Roman"/>
                <w:color w:val="000000"/>
              </w:rPr>
              <w:t xml:space="preserve"> na celu zmniejszenie przedmiotowej różnicy </w:t>
            </w:r>
            <w:r>
              <w:rPr>
                <w:rFonts w:ascii="Times New Roman" w:hAnsi="Times New Roman"/>
                <w:color w:val="000000"/>
              </w:rPr>
              <w:t>w poziomie świadczeń socjalnych dla funkcjonariuszy służb mundurowych (różnica na poziomie 162,50 – 269,50 wzwyż).</w:t>
            </w:r>
          </w:p>
        </w:tc>
      </w:tr>
      <w:tr w:rsidR="002251FE" w:rsidRPr="008B4FE6" w14:paraId="596C76C6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43BE929" w14:textId="77777777" w:rsidR="002251FE" w:rsidRPr="008B4FE6" w:rsidRDefault="00661217" w:rsidP="00BA24E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251FE" w:rsidRPr="008B4FE6" w14:paraId="446DD9C9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6B0656CD" w14:textId="6EBA532F" w:rsidR="00BE62E4" w:rsidRDefault="006E31CA" w:rsidP="00BE62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5C74C4">
              <w:rPr>
                <w:rFonts w:ascii="Times New Roman" w:hAnsi="Times New Roman"/>
                <w:color w:val="000000"/>
              </w:rPr>
              <w:t xml:space="preserve">rojekt </w:t>
            </w:r>
            <w:r>
              <w:rPr>
                <w:rFonts w:ascii="Times New Roman" w:hAnsi="Times New Roman"/>
                <w:color w:val="000000"/>
              </w:rPr>
              <w:t xml:space="preserve">rozporządzenia </w:t>
            </w:r>
            <w:r w:rsidR="005C74C4">
              <w:rPr>
                <w:rFonts w:ascii="Times New Roman" w:hAnsi="Times New Roman"/>
                <w:color w:val="000000"/>
              </w:rPr>
              <w:t>wprowadza zmiany w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zakres</w:t>
            </w:r>
            <w:r>
              <w:rPr>
                <w:rFonts w:ascii="Times New Roman" w:hAnsi="Times New Roman"/>
                <w:color w:val="000000"/>
              </w:rPr>
              <w:t>ie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osób uprawnionych do świadczenia w postaci dopłaty do wypoczynku</w:t>
            </w:r>
            <w:r w:rsidR="00047148" w:rsidRPr="005C74C4">
              <w:rPr>
                <w:rFonts w:ascii="Times New Roman" w:hAnsi="Times New Roman"/>
                <w:color w:val="000000"/>
              </w:rPr>
              <w:t>.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</w:t>
            </w:r>
            <w:r w:rsidR="00D023A1">
              <w:rPr>
                <w:rFonts w:ascii="Times New Roman" w:hAnsi="Times New Roman"/>
                <w:color w:val="000000"/>
              </w:rPr>
              <w:t>Ś</w:t>
            </w:r>
            <w:r w:rsidR="00047148" w:rsidRPr="00047148">
              <w:rPr>
                <w:rFonts w:ascii="Times New Roman" w:hAnsi="Times New Roman"/>
                <w:color w:val="000000"/>
              </w:rPr>
              <w:t>wiadczenie takie będzie przysługiwać dzieciom własnym funkcjonariusza Służby Celno-Skarbowej, dzieciom małżonka funkcjonariusza, dzieciom przysposobionym i dzieciom przyjętym na wychowanie przez funkcjonariusza</w:t>
            </w:r>
            <w:r w:rsidR="008B433C">
              <w:rPr>
                <w:rFonts w:ascii="Times New Roman" w:hAnsi="Times New Roman"/>
                <w:color w:val="000000"/>
              </w:rPr>
              <w:t xml:space="preserve"> lub małżonka funkcjonariusza</w:t>
            </w:r>
            <w:r w:rsidR="00047148" w:rsidRPr="00047148">
              <w:rPr>
                <w:rFonts w:ascii="Times New Roman" w:hAnsi="Times New Roman"/>
                <w:color w:val="000000"/>
              </w:rPr>
              <w:t>, bez względu na wiek, jeżeli stały się osobami całkowicie niezdolnymi do pracy</w:t>
            </w:r>
            <w:r w:rsidR="007F5E34">
              <w:rPr>
                <w:rFonts w:ascii="Times New Roman" w:hAnsi="Times New Roman"/>
                <w:color w:val="000000"/>
              </w:rPr>
              <w:t xml:space="preserve"> albo całkowicie niezdolnymi do pracy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oraz do samodzielnej egzystencji</w:t>
            </w:r>
            <w:r w:rsidR="00E4440B">
              <w:rPr>
                <w:rFonts w:ascii="Times New Roman" w:hAnsi="Times New Roman"/>
                <w:color w:val="000000"/>
              </w:rPr>
              <w:t>,</w:t>
            </w:r>
            <w:r w:rsidR="008B433C">
              <w:rPr>
                <w:rFonts w:ascii="Times New Roman" w:hAnsi="Times New Roman"/>
                <w:color w:val="000000"/>
              </w:rPr>
              <w:t xml:space="preserve"> albo niezdolnymi do samodzielnej egzystencji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. </w:t>
            </w:r>
            <w:r w:rsidR="00D023A1">
              <w:rPr>
                <w:rFonts w:ascii="Times New Roman" w:hAnsi="Times New Roman"/>
                <w:color w:val="000000"/>
              </w:rPr>
              <w:t>Warunkiem przyznania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dopłaty do wypoczynku będzie </w:t>
            </w:r>
            <w:r w:rsidR="00D023A1">
              <w:rPr>
                <w:rFonts w:ascii="Times New Roman" w:hAnsi="Times New Roman"/>
                <w:color w:val="000000"/>
              </w:rPr>
              <w:t xml:space="preserve">przedłożenie </w:t>
            </w:r>
            <w:r w:rsidR="00047148" w:rsidRPr="00047148">
              <w:rPr>
                <w:rFonts w:ascii="Times New Roman" w:hAnsi="Times New Roman"/>
                <w:color w:val="000000"/>
              </w:rPr>
              <w:t>odpowiedni</w:t>
            </w:r>
            <w:r w:rsidR="00D023A1">
              <w:rPr>
                <w:rFonts w:ascii="Times New Roman" w:hAnsi="Times New Roman"/>
                <w:color w:val="000000"/>
              </w:rPr>
              <w:t>ego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dokument</w:t>
            </w:r>
            <w:r w:rsidR="00D023A1">
              <w:rPr>
                <w:rFonts w:ascii="Times New Roman" w:hAnsi="Times New Roman"/>
                <w:color w:val="000000"/>
              </w:rPr>
              <w:t>u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o niezdolności do pracy, tj. potwierdzając</w:t>
            </w:r>
            <w:r w:rsidR="007F5E34">
              <w:rPr>
                <w:rFonts w:ascii="Times New Roman" w:hAnsi="Times New Roman"/>
                <w:color w:val="000000"/>
              </w:rPr>
              <w:t>ego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całkowitą niezdolność do pracy</w:t>
            </w:r>
            <w:r w:rsidR="007F5E34">
              <w:rPr>
                <w:rFonts w:ascii="Times New Roman" w:hAnsi="Times New Roman"/>
                <w:color w:val="000000"/>
              </w:rPr>
              <w:t xml:space="preserve"> albo całkowitą niezdolność do pracy i</w:t>
            </w:r>
            <w:r w:rsidR="00047148" w:rsidRPr="00047148">
              <w:rPr>
                <w:rFonts w:ascii="Times New Roman" w:hAnsi="Times New Roman"/>
                <w:color w:val="000000"/>
              </w:rPr>
              <w:t xml:space="preserve"> </w:t>
            </w:r>
            <w:r w:rsidR="007F5E34">
              <w:rPr>
                <w:rFonts w:ascii="Times New Roman" w:hAnsi="Times New Roman"/>
                <w:color w:val="000000"/>
              </w:rPr>
              <w:t xml:space="preserve">niezdolność </w:t>
            </w:r>
            <w:r w:rsidR="00047148" w:rsidRPr="00047148">
              <w:rPr>
                <w:rFonts w:ascii="Times New Roman" w:hAnsi="Times New Roman"/>
                <w:color w:val="000000"/>
              </w:rPr>
              <w:t>do samodzielnej egzystencji</w:t>
            </w:r>
            <w:r w:rsidR="00E4440B">
              <w:rPr>
                <w:rFonts w:ascii="Times New Roman" w:hAnsi="Times New Roman"/>
                <w:color w:val="000000"/>
              </w:rPr>
              <w:t>,</w:t>
            </w:r>
            <w:r w:rsidR="008B433C">
              <w:rPr>
                <w:rFonts w:ascii="Times New Roman" w:hAnsi="Times New Roman"/>
                <w:color w:val="000000"/>
              </w:rPr>
              <w:t xml:space="preserve"> albo niezdolność do samodzielnej egzystencji</w:t>
            </w:r>
            <w:r w:rsidR="00BE62E4">
              <w:rPr>
                <w:rFonts w:ascii="Times New Roman" w:hAnsi="Times New Roman"/>
                <w:color w:val="000000"/>
              </w:rPr>
              <w:t>.</w:t>
            </w:r>
            <w:r w:rsidR="008B433C">
              <w:rPr>
                <w:rFonts w:ascii="Times New Roman" w:hAnsi="Times New Roman"/>
                <w:color w:val="000000"/>
              </w:rPr>
              <w:t xml:space="preserve"> Ponadto dla zapewnienia równego taktowania członków rodziny funkcjonariusza w projektowanej regulacji proponuje się uwzględnienie w grupie osób uprawnionych do świadczeń socjalnych także dzieci przysposobion</w:t>
            </w:r>
            <w:r w:rsidR="001245EB">
              <w:rPr>
                <w:rFonts w:ascii="Times New Roman" w:hAnsi="Times New Roman"/>
                <w:color w:val="000000"/>
              </w:rPr>
              <w:t>ych</w:t>
            </w:r>
            <w:r w:rsidR="008B433C">
              <w:rPr>
                <w:rFonts w:ascii="Times New Roman" w:hAnsi="Times New Roman"/>
                <w:color w:val="000000"/>
              </w:rPr>
              <w:t xml:space="preserve"> i dzieci przyjęt</w:t>
            </w:r>
            <w:r w:rsidR="001245EB">
              <w:rPr>
                <w:rFonts w:ascii="Times New Roman" w:hAnsi="Times New Roman"/>
                <w:color w:val="000000"/>
              </w:rPr>
              <w:t>ych</w:t>
            </w:r>
            <w:r w:rsidR="008B433C">
              <w:rPr>
                <w:rFonts w:ascii="Times New Roman" w:hAnsi="Times New Roman"/>
                <w:color w:val="000000"/>
              </w:rPr>
              <w:t xml:space="preserve"> na wychowanie przez małżonka funkcjonariusza.</w:t>
            </w:r>
          </w:p>
          <w:p w14:paraId="3971C781" w14:textId="4A31AB43" w:rsidR="009E67B5" w:rsidRDefault="009E67B5" w:rsidP="00BE62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Pr="006E31CA">
              <w:rPr>
                <w:rFonts w:ascii="Times New Roman" w:hAnsi="Times New Roman"/>
                <w:color w:val="000000"/>
              </w:rPr>
              <w:t>d dnia 1 stycznia 2019 r</w:t>
            </w:r>
            <w:r>
              <w:rPr>
                <w:rFonts w:ascii="Times New Roman" w:hAnsi="Times New Roman"/>
                <w:color w:val="000000"/>
              </w:rPr>
              <w:t xml:space="preserve">. planuje się również </w:t>
            </w:r>
            <w:r w:rsidRPr="00047148">
              <w:rPr>
                <w:rFonts w:ascii="Times New Roman" w:hAnsi="Times New Roman"/>
                <w:color w:val="000000"/>
              </w:rPr>
              <w:t>wprowadz</w:t>
            </w:r>
            <w:r>
              <w:rPr>
                <w:rFonts w:ascii="Times New Roman" w:hAnsi="Times New Roman"/>
                <w:color w:val="000000"/>
              </w:rPr>
              <w:t>enie</w:t>
            </w:r>
            <w:r w:rsidRPr="00047148">
              <w:rPr>
                <w:rFonts w:ascii="Times New Roman" w:hAnsi="Times New Roman"/>
                <w:color w:val="000000"/>
              </w:rPr>
              <w:t xml:space="preserve"> zmian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047148">
              <w:rPr>
                <w:rFonts w:ascii="Times New Roman" w:hAnsi="Times New Roman"/>
                <w:color w:val="000000"/>
              </w:rPr>
              <w:t xml:space="preserve"> wskaźnika obliczenia dopłaty do wypoczynku </w:t>
            </w:r>
            <w:r w:rsidR="00263146">
              <w:rPr>
                <w:rFonts w:ascii="Times New Roman" w:hAnsi="Times New Roman"/>
                <w:color w:val="000000"/>
              </w:rPr>
              <w:br/>
            </w:r>
            <w:r w:rsidRPr="00047148">
              <w:rPr>
                <w:rFonts w:ascii="Times New Roman" w:hAnsi="Times New Roman"/>
                <w:color w:val="000000"/>
              </w:rPr>
              <w:t xml:space="preserve">z 0,144 do 0,263 kwoty bazowej określonej w ustawie budżetowej na rok, w którym funkcjonariusz Służby </w:t>
            </w:r>
            <w:r w:rsidR="00263146">
              <w:rPr>
                <w:rFonts w:ascii="Times New Roman" w:hAnsi="Times New Roman"/>
                <w:color w:val="000000"/>
              </w:rPr>
              <w:br/>
            </w:r>
            <w:r w:rsidRPr="00047148">
              <w:rPr>
                <w:rFonts w:ascii="Times New Roman" w:hAnsi="Times New Roman"/>
                <w:color w:val="000000"/>
              </w:rPr>
              <w:t xml:space="preserve">Celno-Skarbowej nabył prawo do urlopu wypoczynkowego, </w:t>
            </w:r>
            <w:r>
              <w:rPr>
                <w:rFonts w:ascii="Times New Roman" w:hAnsi="Times New Roman"/>
                <w:color w:val="000000"/>
              </w:rPr>
              <w:t>co stanowi</w:t>
            </w:r>
            <w:r w:rsidRPr="00047148">
              <w:rPr>
                <w:rFonts w:ascii="Times New Roman" w:hAnsi="Times New Roman"/>
                <w:color w:val="000000"/>
              </w:rPr>
              <w:t xml:space="preserve"> wzrost </w:t>
            </w:r>
            <w:r>
              <w:rPr>
                <w:rFonts w:ascii="Times New Roman" w:hAnsi="Times New Roman"/>
                <w:color w:val="000000"/>
              </w:rPr>
              <w:t xml:space="preserve">kwoty bazowej </w:t>
            </w:r>
            <w:r w:rsidRPr="00047148">
              <w:rPr>
                <w:rFonts w:ascii="Times New Roman" w:hAnsi="Times New Roman"/>
                <w:color w:val="000000"/>
              </w:rPr>
              <w:t>o 0,119.</w:t>
            </w:r>
          </w:p>
          <w:p w14:paraId="7E4F549C" w14:textId="7AB41E96" w:rsidR="009C0AE3" w:rsidRDefault="008F3BD7" w:rsidP="00BE62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5F2249">
              <w:rPr>
                <w:rFonts w:ascii="Times New Roman" w:hAnsi="Times New Roman"/>
                <w:color w:val="000000"/>
              </w:rPr>
              <w:t>odniesienie kwoty dopłaty do wypoczynku, przysługującej funkcjonariuszom Służby Celno-Skarbowej do poziomu zbliżonego do kwoty dopłaty dla funkcjonariuszy innych służb mundurowych ma na celu zmniejszenie przedmiotowej różnicy w poziomie świadczeń socjalnych.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02CDB">
              <w:rPr>
                <w:rFonts w:ascii="Times New Roman" w:hAnsi="Times New Roman"/>
              </w:rPr>
              <w:t>Stanowić to będzie dodatkowy czynnik motywacyjny do podejmowania służby w Służbie Celno-Skarbowej.</w:t>
            </w:r>
          </w:p>
        </w:tc>
      </w:tr>
      <w:tr w:rsidR="002251FE" w:rsidRPr="008B4FE6" w14:paraId="148448CE" w14:textId="77777777" w:rsidTr="002251FE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548CA43" w14:textId="77777777" w:rsidR="002251FE" w:rsidRPr="008B4FE6" w:rsidRDefault="002251FE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251FE" w:rsidRPr="008B4FE6" w14:paraId="6F721729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31E9BFDC" w14:textId="77777777" w:rsidR="002251FE" w:rsidRPr="00B37C80" w:rsidRDefault="008B4503" w:rsidP="00FF41A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251FE" w:rsidRPr="008B4FE6" w14:paraId="2D4B8E3E" w14:textId="77777777" w:rsidTr="002251FE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6EF8199" w14:textId="77777777" w:rsidR="002251FE" w:rsidRPr="008B4FE6" w:rsidRDefault="002251FE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251FE" w:rsidRPr="008B4FE6" w14:paraId="504D20AF" w14:textId="77777777" w:rsidTr="009874C5">
        <w:trPr>
          <w:gridAfter w:val="1"/>
          <w:wAfter w:w="10" w:type="dxa"/>
          <w:trHeight w:val="142"/>
        </w:trPr>
        <w:tc>
          <w:tcPr>
            <w:tcW w:w="2655" w:type="dxa"/>
            <w:gridSpan w:val="4"/>
            <w:shd w:val="clear" w:color="auto" w:fill="auto"/>
          </w:tcPr>
          <w:p w14:paraId="469CBB30" w14:textId="77777777" w:rsidR="002251FE" w:rsidRPr="008B4FE6" w:rsidRDefault="002251FE" w:rsidP="002251F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4" w:type="dxa"/>
            <w:gridSpan w:val="7"/>
            <w:shd w:val="clear" w:color="auto" w:fill="auto"/>
          </w:tcPr>
          <w:p w14:paraId="05C5F20A" w14:textId="77777777" w:rsidR="002251FE" w:rsidRPr="008B4FE6" w:rsidRDefault="002251FE" w:rsidP="002251F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15E315B2" w14:textId="77777777" w:rsidR="002251FE" w:rsidRPr="008B4FE6" w:rsidRDefault="002251FE" w:rsidP="002251F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2" w:type="dxa"/>
            <w:gridSpan w:val="6"/>
            <w:shd w:val="clear" w:color="auto" w:fill="auto"/>
          </w:tcPr>
          <w:p w14:paraId="43C3F9A6" w14:textId="77777777" w:rsidR="002251FE" w:rsidRPr="008B4FE6" w:rsidRDefault="002251FE" w:rsidP="002251F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251FE" w:rsidRPr="008B4FE6" w14:paraId="3E7D5551" w14:textId="77777777" w:rsidTr="009874C5">
        <w:trPr>
          <w:gridAfter w:val="1"/>
          <w:wAfter w:w="10" w:type="dxa"/>
          <w:trHeight w:val="142"/>
        </w:trPr>
        <w:tc>
          <w:tcPr>
            <w:tcW w:w="2655" w:type="dxa"/>
            <w:gridSpan w:val="4"/>
            <w:shd w:val="clear" w:color="auto" w:fill="auto"/>
          </w:tcPr>
          <w:p w14:paraId="39EBA913" w14:textId="77777777" w:rsidR="009C0AE3" w:rsidRDefault="008E6E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F</w:t>
            </w:r>
            <w:r w:rsidR="002251FE">
              <w:rPr>
                <w:rFonts w:ascii="Times New Roman" w:hAnsi="Times New Roman"/>
                <w:color w:val="000000"/>
              </w:rPr>
              <w:t xml:space="preserve">unkcjonariusze </w:t>
            </w:r>
            <w:r w:rsidR="00F40D7B">
              <w:rPr>
                <w:rFonts w:ascii="Times New Roman" w:hAnsi="Times New Roman"/>
                <w:color w:val="000000"/>
              </w:rPr>
              <w:t>Służby C</w:t>
            </w:r>
            <w:r w:rsidR="002251FE">
              <w:rPr>
                <w:rFonts w:ascii="Times New Roman" w:hAnsi="Times New Roman"/>
                <w:color w:val="000000"/>
              </w:rPr>
              <w:t>eln</w:t>
            </w:r>
            <w:r w:rsidR="002E0764">
              <w:rPr>
                <w:rFonts w:ascii="Times New Roman" w:hAnsi="Times New Roman"/>
                <w:color w:val="000000"/>
              </w:rPr>
              <w:t>o-</w:t>
            </w:r>
            <w:r w:rsidR="00F40D7B">
              <w:rPr>
                <w:rFonts w:ascii="Times New Roman" w:hAnsi="Times New Roman"/>
                <w:color w:val="000000"/>
              </w:rPr>
              <w:t>S</w:t>
            </w:r>
            <w:r w:rsidR="002E0764">
              <w:rPr>
                <w:rFonts w:ascii="Times New Roman" w:hAnsi="Times New Roman"/>
                <w:color w:val="000000"/>
              </w:rPr>
              <w:t>karbow</w:t>
            </w:r>
            <w:r w:rsidR="00F40D7B">
              <w:rPr>
                <w:rFonts w:ascii="Times New Roman" w:hAnsi="Times New Roman"/>
                <w:color w:val="000000"/>
              </w:rPr>
              <w:t>ej</w:t>
            </w:r>
            <w:r w:rsidR="002251F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4" w:type="dxa"/>
            <w:gridSpan w:val="7"/>
            <w:shd w:val="clear" w:color="auto" w:fill="auto"/>
          </w:tcPr>
          <w:p w14:paraId="20C20D07" w14:textId="77777777" w:rsidR="002251FE" w:rsidRPr="00E04988" w:rsidRDefault="00DC1DCC" w:rsidP="002E0764">
            <w:pPr>
              <w:spacing w:line="240" w:lineRule="auto"/>
              <w:jc w:val="center"/>
              <w:rPr>
                <w:rFonts w:ascii="Times New Roman" w:hAnsi="Times New Roman"/>
                <w:strike/>
                <w:spacing w:val="-2"/>
              </w:rPr>
            </w:pPr>
            <w:r w:rsidRPr="00E04988">
              <w:rPr>
                <w:rFonts w:ascii="Times New Roman" w:hAnsi="Times New Roman"/>
                <w:spacing w:val="-2"/>
              </w:rPr>
              <w:t>11 293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4F7A9830" w14:textId="77777777" w:rsidR="002251FE" w:rsidRPr="00B37C80" w:rsidRDefault="008E6EEC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B534D">
              <w:rPr>
                <w:rFonts w:ascii="Times New Roman" w:hAnsi="Times New Roman"/>
                <w:color w:val="000000"/>
                <w:spacing w:val="-2"/>
              </w:rPr>
              <w:t>Dane własne</w:t>
            </w:r>
          </w:p>
        </w:tc>
        <w:tc>
          <w:tcPr>
            <w:tcW w:w="2992" w:type="dxa"/>
            <w:gridSpan w:val="6"/>
            <w:shd w:val="clear" w:color="auto" w:fill="auto"/>
          </w:tcPr>
          <w:p w14:paraId="2D2D50B1" w14:textId="77777777" w:rsidR="002251FE" w:rsidRPr="00B37C80" w:rsidRDefault="008E6EEC" w:rsidP="00AB6B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Bezpośrednie</w:t>
            </w:r>
          </w:p>
        </w:tc>
      </w:tr>
      <w:tr w:rsidR="00302CDB" w:rsidRPr="00302CDB" w14:paraId="734DA5D3" w14:textId="77777777" w:rsidTr="009874C5">
        <w:trPr>
          <w:gridAfter w:val="1"/>
          <w:wAfter w:w="10" w:type="dxa"/>
          <w:trHeight w:val="142"/>
        </w:trPr>
        <w:tc>
          <w:tcPr>
            <w:tcW w:w="2655" w:type="dxa"/>
            <w:gridSpan w:val="4"/>
            <w:shd w:val="clear" w:color="auto" w:fill="auto"/>
          </w:tcPr>
          <w:p w14:paraId="693ED50C" w14:textId="7A147B23" w:rsidR="006865E1" w:rsidRPr="00E04988" w:rsidRDefault="00302CDB" w:rsidP="00302C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4988">
              <w:rPr>
                <w:rFonts w:ascii="Times New Roman" w:hAnsi="Times New Roman"/>
                <w:color w:val="000000"/>
              </w:rPr>
              <w:t>Członkowie rodzin funkcjonariuszy Służby Celno-Skarbowej</w:t>
            </w:r>
          </w:p>
        </w:tc>
        <w:tc>
          <w:tcPr>
            <w:tcW w:w="2294" w:type="dxa"/>
            <w:gridSpan w:val="7"/>
            <w:shd w:val="clear" w:color="auto" w:fill="auto"/>
          </w:tcPr>
          <w:p w14:paraId="2A801849" w14:textId="722C1986" w:rsidR="00302CDB" w:rsidRPr="00E04988" w:rsidRDefault="00881D12" w:rsidP="002E076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04988">
              <w:rPr>
                <w:rFonts w:ascii="Times New Roman" w:hAnsi="Times New Roman"/>
                <w:spacing w:val="-2"/>
              </w:rPr>
              <w:t>22 586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0F3063B7" w14:textId="77777777" w:rsidR="00302CDB" w:rsidRPr="00E04988" w:rsidRDefault="00302CDB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04988">
              <w:rPr>
                <w:rFonts w:ascii="Times New Roman" w:hAnsi="Times New Roman"/>
                <w:color w:val="000000"/>
                <w:spacing w:val="-2"/>
              </w:rPr>
              <w:t>Dane własne</w:t>
            </w:r>
          </w:p>
        </w:tc>
        <w:tc>
          <w:tcPr>
            <w:tcW w:w="2992" w:type="dxa"/>
            <w:gridSpan w:val="6"/>
            <w:shd w:val="clear" w:color="auto" w:fill="auto"/>
          </w:tcPr>
          <w:p w14:paraId="4E6E29FD" w14:textId="77777777" w:rsidR="00302CDB" w:rsidRPr="00E04988" w:rsidRDefault="00302CDB" w:rsidP="00AB6B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04988">
              <w:rPr>
                <w:rFonts w:ascii="Times New Roman" w:hAnsi="Times New Roman"/>
                <w:color w:val="000000"/>
                <w:spacing w:val="-2"/>
              </w:rPr>
              <w:t>Bezpośrednie</w:t>
            </w:r>
          </w:p>
        </w:tc>
      </w:tr>
      <w:tr w:rsidR="002251FE" w:rsidRPr="008B4FE6" w14:paraId="3F653010" w14:textId="77777777" w:rsidTr="002251FE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9BC1456" w14:textId="77777777" w:rsidR="002251FE" w:rsidRPr="008B4FE6" w:rsidRDefault="002251FE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251FE" w:rsidRPr="008B4FE6" w14:paraId="7C15008C" w14:textId="77777777" w:rsidTr="002251FE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27F1A35D" w14:textId="4C040480" w:rsidR="002E59B3" w:rsidRPr="002F02A2" w:rsidRDefault="001A3785" w:rsidP="001A3785">
            <w:pPr>
              <w:pStyle w:val="Tekstpodstawow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B4503" w:rsidRPr="008B4503">
              <w:rPr>
                <w:sz w:val="22"/>
                <w:szCs w:val="22"/>
              </w:rPr>
              <w:t>godnie z art. 5 ustawy z dnia 7 lipca 2005 r. o działalności lobbingowej w procesie stanowienia prawa (Dz. U. z 2017 r. poz. 248) oraz stosownie do § 52 uchwały Nr 190 Rady Ministrów z dnia 29 października 2013 r. – Regulamin pracy Rady Ministrów (M.P. z 2016 r. poz. 1006, z późn. zm.)</w:t>
            </w:r>
            <w:r w:rsidR="00D023A1">
              <w:rPr>
                <w:sz w:val="22"/>
                <w:szCs w:val="22"/>
              </w:rPr>
              <w:t>,</w:t>
            </w:r>
            <w:r w:rsidR="008B4503" w:rsidRPr="008B4503">
              <w:rPr>
                <w:sz w:val="22"/>
                <w:szCs w:val="22"/>
              </w:rPr>
              <w:t xml:space="preserve"> projekt rozporządzenia zostanie udostępniony w Biuletynie Informacji Publicznej na stronie podmiotowej Rządowego Centrum Legislacji, w serwisie Rządowy Proces Legislacyjny.</w:t>
            </w:r>
          </w:p>
        </w:tc>
      </w:tr>
      <w:tr w:rsidR="002251FE" w:rsidRPr="008B4FE6" w14:paraId="6CE1C0AE" w14:textId="77777777" w:rsidTr="002251FE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CC2EBED" w14:textId="77777777" w:rsidR="002251FE" w:rsidRPr="008B4FE6" w:rsidRDefault="002251FE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251FE" w:rsidRPr="008B4FE6" w14:paraId="70E9166C" w14:textId="77777777" w:rsidTr="009874C5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vMerge w:val="restart"/>
            <w:shd w:val="clear" w:color="auto" w:fill="FFFFFF"/>
          </w:tcPr>
          <w:p w14:paraId="2BA9CE65" w14:textId="77777777" w:rsidR="002251FE" w:rsidRPr="00C53F26" w:rsidRDefault="002251FE" w:rsidP="0004797D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stałe z </w:t>
            </w:r>
            <w:r w:rsidR="001332A0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  <w:r w:rsidR="0004797D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526" w:type="dxa"/>
            <w:gridSpan w:val="24"/>
            <w:shd w:val="clear" w:color="auto" w:fill="FFFFFF"/>
          </w:tcPr>
          <w:p w14:paraId="2C5FC3D9" w14:textId="77777777" w:rsidR="002251FE" w:rsidRPr="00C53F26" w:rsidRDefault="002251FE" w:rsidP="002251F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9874C5" w:rsidRPr="008B4FE6" w14:paraId="2756B12C" w14:textId="77777777" w:rsidTr="003808A7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vMerge/>
            <w:shd w:val="clear" w:color="auto" w:fill="FFFFFF"/>
          </w:tcPr>
          <w:p w14:paraId="390E2F16" w14:textId="77777777" w:rsidR="002251FE" w:rsidRPr="00C53F26" w:rsidRDefault="002251FE" w:rsidP="002251FE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70313096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2A21E347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118ED23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6" w:type="dxa"/>
            <w:gridSpan w:val="3"/>
            <w:shd w:val="clear" w:color="auto" w:fill="FFFFFF"/>
          </w:tcPr>
          <w:p w14:paraId="644E4974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A64DD28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7A84FE3A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5B19E7D6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DFE4D2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75A0B3B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14:paraId="446DA017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CA35B09" w14:textId="77777777" w:rsidR="002251FE" w:rsidRPr="00C53F26" w:rsidRDefault="002251FE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76" w:type="dxa"/>
            <w:shd w:val="clear" w:color="auto" w:fill="FFFFFF"/>
          </w:tcPr>
          <w:p w14:paraId="61E84973" w14:textId="77777777" w:rsidR="002251FE" w:rsidRPr="00C53F26" w:rsidRDefault="002251FE" w:rsidP="002251F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874C5" w:rsidRPr="008B4FE6" w14:paraId="6E49E5B1" w14:textId="77777777" w:rsidTr="003808A7">
        <w:trPr>
          <w:trHeight w:val="321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43D7AA25" w14:textId="77777777" w:rsidR="002251FE" w:rsidRPr="00C53F26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3A71A05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7C9DFDB7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41B55C2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37B5CC1E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464702A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2C2FF039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61F82F0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1EF0EEC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B1C567E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592EE2AF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6BB3547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06F7DF9B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874C5" w:rsidRPr="008B4FE6" w14:paraId="0EADC45F" w14:textId="77777777" w:rsidTr="003808A7">
        <w:trPr>
          <w:trHeight w:val="321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23FDB3D5" w14:textId="77777777" w:rsidR="002251FE" w:rsidRPr="00C53F26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6E8C805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3B4E5942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7C312F7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21BB6D57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E5E73C1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788B8216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1B0A7111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AA06261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5EB0ED5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55A4FB49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5490DBD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4EA0ECEB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874C5" w:rsidRPr="008B4FE6" w14:paraId="12217A17" w14:textId="77777777" w:rsidTr="003808A7">
        <w:trPr>
          <w:trHeight w:val="344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3B53318D" w14:textId="77777777" w:rsidR="002251FE" w:rsidRPr="00C53F26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1A0BB2E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0E3975BB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D664C3E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6887CC89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CBE9C68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77830630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891596B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B2052FB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21C63CB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362D18EC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B21D5B8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5C10F8B1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874C5" w:rsidRPr="008B4FE6" w14:paraId="5A8BB30A" w14:textId="77777777" w:rsidTr="003808A7">
        <w:trPr>
          <w:trHeight w:val="344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29558B64" w14:textId="77777777" w:rsidR="002251FE" w:rsidRPr="00C53F26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1D1364C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621CD993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7D3BFB0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616D69E6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D8487C7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2059B45D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C6909CF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4AA229D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DFEC7C4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52425ECD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73BCBF1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2C0BC4DA" w14:textId="77777777" w:rsidR="002251FE" w:rsidRPr="00B37C80" w:rsidRDefault="002251FE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A45DF" w:rsidRPr="008B4FE6" w14:paraId="1E663B58" w14:textId="77777777" w:rsidTr="003808A7">
        <w:trPr>
          <w:trHeight w:val="330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3C606A4A" w14:textId="77777777" w:rsidR="00AA45DF" w:rsidRPr="00E04988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498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9DA62B0" w14:textId="6C3EB9FB" w:rsidR="00AA45DF" w:rsidRPr="00E04988" w:rsidRDefault="00AA45DF" w:rsidP="00D80F3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2A08D08E" w14:textId="608CFC18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F35B087" w14:textId="5095CC06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6" w:type="dxa"/>
            <w:gridSpan w:val="3"/>
            <w:shd w:val="clear" w:color="auto" w:fill="FFFFFF"/>
          </w:tcPr>
          <w:p w14:paraId="39C1F5D2" w14:textId="5D078E0E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1005DC4" w14:textId="1466F42A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8" w:type="dxa"/>
            <w:shd w:val="clear" w:color="auto" w:fill="FFFFFF"/>
          </w:tcPr>
          <w:p w14:paraId="661A184B" w14:textId="2AF79E75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222EB43" w14:textId="450A6CD6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0A82009" w14:textId="5DA3CA9F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CE1EA0A" w14:textId="1B10BD94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8" w:type="dxa"/>
            <w:shd w:val="clear" w:color="auto" w:fill="FFFFFF"/>
          </w:tcPr>
          <w:p w14:paraId="71DC4344" w14:textId="0F173281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A0D8C67" w14:textId="13BBF943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886" w:type="dxa"/>
            <w:gridSpan w:val="2"/>
            <w:shd w:val="clear" w:color="auto" w:fill="FFFFFF"/>
          </w:tcPr>
          <w:p w14:paraId="64D01944" w14:textId="2D562E9F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68,64</w:t>
            </w:r>
          </w:p>
        </w:tc>
      </w:tr>
      <w:tr w:rsidR="00AA45DF" w:rsidRPr="008B4FE6" w14:paraId="3DFA6BB6" w14:textId="77777777" w:rsidTr="003808A7">
        <w:trPr>
          <w:trHeight w:val="330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52FF5930" w14:textId="77777777" w:rsidR="00AA45DF" w:rsidRPr="00E04988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4988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90D6573" w14:textId="3D71C280" w:rsidR="00AA45DF" w:rsidRPr="00E04988" w:rsidRDefault="00AA45DF" w:rsidP="00DD3A0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01F9AC8C" w14:textId="0620F655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25D1A13" w14:textId="2892C602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6" w:type="dxa"/>
            <w:gridSpan w:val="3"/>
            <w:shd w:val="clear" w:color="auto" w:fill="FFFFFF"/>
          </w:tcPr>
          <w:p w14:paraId="28BE32FB" w14:textId="7C07821A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B69D21" w14:textId="1C8D12FB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8" w:type="dxa"/>
            <w:shd w:val="clear" w:color="auto" w:fill="FFFFFF"/>
          </w:tcPr>
          <w:p w14:paraId="2FB6BB94" w14:textId="4632B638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046E646" w14:textId="17A9A0C7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AFCC62D" w14:textId="47BD3A68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E4B6F69" w14:textId="1DB512C8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8" w:type="dxa"/>
            <w:shd w:val="clear" w:color="auto" w:fill="FFFFFF"/>
          </w:tcPr>
          <w:p w14:paraId="4EFDD86C" w14:textId="2E8D45BD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6499CC" w14:textId="34E77830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6,864</w:t>
            </w:r>
          </w:p>
        </w:tc>
        <w:tc>
          <w:tcPr>
            <w:tcW w:w="886" w:type="dxa"/>
            <w:gridSpan w:val="2"/>
            <w:shd w:val="clear" w:color="auto" w:fill="FFFFFF"/>
          </w:tcPr>
          <w:p w14:paraId="5D6D1CE5" w14:textId="2EFA86E1" w:rsidR="00AA45DF" w:rsidRPr="00E04988" w:rsidRDefault="00D772AC" w:rsidP="00D772A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68,64</w:t>
            </w:r>
          </w:p>
        </w:tc>
      </w:tr>
      <w:tr w:rsidR="00AA45DF" w:rsidRPr="008B4FE6" w14:paraId="2B11D28D" w14:textId="77777777" w:rsidTr="003808A7">
        <w:trPr>
          <w:trHeight w:val="351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4B02FBE2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C85F3FA" w14:textId="77777777" w:rsidR="00AA45DF" w:rsidRPr="00203018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49EDA6B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D21C613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53B88996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98332A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693B37D6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1FDA00A9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95806CD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1098AD1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361F2B13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4C445C0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58B4CC63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A45DF" w:rsidRPr="008B4FE6" w14:paraId="4F971133" w14:textId="77777777" w:rsidTr="003808A7">
        <w:trPr>
          <w:trHeight w:val="351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65C723DE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3B7E1C7" w14:textId="77777777" w:rsidR="00AA45DF" w:rsidRPr="00203018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605D58DF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8274B16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1678704C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578DD44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28CD4263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5788AC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C710B0C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7C1B6E1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5D91C8AD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CCC8744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0D6DFD32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A45DF" w:rsidRPr="008B4FE6" w14:paraId="75DDC08C" w14:textId="77777777" w:rsidTr="003808A7">
        <w:trPr>
          <w:trHeight w:val="360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717BA78B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FD76D6B" w14:textId="77777777" w:rsidR="00AA45DF" w:rsidRPr="00B37C80" w:rsidRDefault="00AA45DF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768D6754" w14:textId="235405A2" w:rsidR="00AA45DF" w:rsidRPr="00B37C80" w:rsidRDefault="005B627A" w:rsidP="00D772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6,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9C1E9F8" w14:textId="41E2A691" w:rsidR="00AA45DF" w:rsidRPr="00B37C80" w:rsidRDefault="005B627A" w:rsidP="00D772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6,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3"/>
            <w:shd w:val="clear" w:color="auto" w:fill="FFFFFF"/>
          </w:tcPr>
          <w:p w14:paraId="0F398AAA" w14:textId="5BFF5388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D895EBF" w14:textId="51ED9577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0A0487B4" w14:textId="4CD2AEB8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6AD6AE59" w14:textId="16D9D33C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8EB81BF" w14:textId="3383B23B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DDD4825" w14:textId="1702E564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7D25590D" w14:textId="10DCFE9D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CD64EF8" w14:textId="1331CFB1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FA4A5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2"/>
            <w:shd w:val="clear" w:color="auto" w:fill="FFFFFF"/>
          </w:tcPr>
          <w:p w14:paraId="64A054B0" w14:textId="1AD2B731" w:rsidR="00AA45DF" w:rsidRPr="00B37C80" w:rsidRDefault="005B627A" w:rsidP="00D772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spacing w:val="-2"/>
                <w:sz w:val="16"/>
                <w:szCs w:val="16"/>
              </w:rPr>
              <w:t>68</w:t>
            </w:r>
            <w:r w:rsidR="00B81299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="00D772AC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  <w:r w:rsidR="00B81299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</w:p>
        </w:tc>
      </w:tr>
      <w:tr w:rsidR="00AA45DF" w:rsidRPr="008B4FE6" w14:paraId="640D424C" w14:textId="77777777" w:rsidTr="003808A7">
        <w:trPr>
          <w:trHeight w:val="360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5730A82E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0B0C727" w14:textId="77777777" w:rsidR="00AA45DF" w:rsidRPr="00B37C80" w:rsidRDefault="00AA45DF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18D4DFDD" w14:textId="27E9841E" w:rsidR="00AA45DF" w:rsidRPr="00B37C80" w:rsidRDefault="005B627A" w:rsidP="00D772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6,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99CD9B5" w14:textId="7F3F553F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3"/>
            <w:shd w:val="clear" w:color="auto" w:fill="FFFFFF"/>
          </w:tcPr>
          <w:p w14:paraId="5158D17A" w14:textId="11950F6D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76919DF" w14:textId="6B88B3E1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76127712" w14:textId="25FB6E0B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D6EDF6E" w14:textId="58544F61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17E5C65" w14:textId="25237D33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7AB7BF0" w14:textId="1F7CB128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18BE7996" w14:textId="3F760D2F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E4B2956" w14:textId="15A36AE3" w:rsidR="00AA45DF" w:rsidRPr="00B37C80" w:rsidRDefault="005B627A" w:rsidP="00D80F3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="00D772A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  <w:r w:rsidR="00B812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2"/>
            <w:shd w:val="clear" w:color="auto" w:fill="FFFFFF"/>
          </w:tcPr>
          <w:p w14:paraId="047DAAC7" w14:textId="094E7843" w:rsidR="00AA45DF" w:rsidRPr="00B37C80" w:rsidRDefault="005B627A" w:rsidP="00D772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- </w:t>
            </w:r>
            <w:r w:rsidR="00B81299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  <w:r w:rsidR="00D772AC">
              <w:rPr>
                <w:rFonts w:ascii="Times New Roman" w:hAnsi="Times New Roman"/>
                <w:spacing w:val="-2"/>
                <w:sz w:val="16"/>
                <w:szCs w:val="16"/>
              </w:rPr>
              <w:t>8</w:t>
            </w:r>
            <w:r w:rsidR="00B81299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="00D772AC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  <w:r w:rsidR="00B81299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</w:p>
        </w:tc>
      </w:tr>
      <w:tr w:rsidR="00AA45DF" w:rsidRPr="008B4FE6" w14:paraId="0E981291" w14:textId="77777777" w:rsidTr="003808A7">
        <w:trPr>
          <w:trHeight w:val="357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6BB54BAD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525258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1D1DABA6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64EBF99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6618FE36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7DD4F35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30348C2E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AF29813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7C10929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3895844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070BF19D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040BD65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7EAEAFB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A45DF" w:rsidRPr="008B4FE6" w14:paraId="30605AEF" w14:textId="77777777" w:rsidTr="003808A7">
        <w:trPr>
          <w:trHeight w:val="357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7B0D0DBA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3ED49C9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7D884F27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151867F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5FA1B5BD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9C5FA63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1B2382EE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C62AB92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05CC1FA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18A67AA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65B7C869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6905476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7A05176B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A45DF" w:rsidRPr="008B4FE6" w14:paraId="51CF3920" w14:textId="77777777" w:rsidTr="009874C5">
        <w:trPr>
          <w:gridAfter w:val="1"/>
          <w:wAfter w:w="10" w:type="dxa"/>
          <w:trHeight w:val="348"/>
        </w:trPr>
        <w:tc>
          <w:tcPr>
            <w:tcW w:w="2230" w:type="dxa"/>
            <w:gridSpan w:val="2"/>
            <w:shd w:val="clear" w:color="auto" w:fill="FFFFFF"/>
            <w:vAlign w:val="center"/>
          </w:tcPr>
          <w:p w14:paraId="7B8D4E6C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14:paraId="77069000" w14:textId="77777777" w:rsidR="00AA45DF" w:rsidRPr="006B185F" w:rsidRDefault="00BA67F7" w:rsidP="00302C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Część 19 – Budżet, finanse publiczne i instytucje finansowe</w:t>
            </w:r>
          </w:p>
        </w:tc>
      </w:tr>
      <w:tr w:rsidR="00AA45DF" w:rsidRPr="008B4FE6" w14:paraId="68AF30A8" w14:textId="77777777" w:rsidTr="009874C5">
        <w:trPr>
          <w:gridAfter w:val="1"/>
          <w:wAfter w:w="10" w:type="dxa"/>
          <w:trHeight w:val="1926"/>
        </w:trPr>
        <w:tc>
          <w:tcPr>
            <w:tcW w:w="2230" w:type="dxa"/>
            <w:gridSpan w:val="2"/>
            <w:shd w:val="clear" w:color="auto" w:fill="FFFFFF"/>
          </w:tcPr>
          <w:p w14:paraId="15CF5479" w14:textId="77777777" w:rsidR="00AA45DF" w:rsidRPr="00C53F2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07" w:type="dxa"/>
            <w:gridSpan w:val="25"/>
            <w:shd w:val="clear" w:color="auto" w:fill="FFFFFF"/>
          </w:tcPr>
          <w:p w14:paraId="4DE8633F" w14:textId="66196EB8" w:rsidR="00BA67F7" w:rsidRDefault="00FD5D95" w:rsidP="00844F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Projektowane zmiany zostaną sfinansowane w ramach limitu części budżetowej 19-Budżet, finanse publiczne i instytucje finansowe określonego w skierowanym do Sejmu projekcie ustawy budżetowej na rok 2019.</w:t>
            </w:r>
          </w:p>
          <w:p w14:paraId="7062CEF2" w14:textId="2B9BD42F" w:rsidR="00B303A6" w:rsidRPr="004703EE" w:rsidRDefault="00BA24E4" w:rsidP="004703E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 analizy danych własnych oraz przekazanych przez izby administracji skarbowej wynika, że k</w:t>
            </w:r>
            <w:r w:rsidR="00881D12"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wota </w:t>
            </w:r>
            <w:r w:rsidR="00DF16D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zwiększenia </w:t>
            </w:r>
            <w:r w:rsidR="00881D12"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dofinansowania rocznie daje wydatek w wysokości ok. </w:t>
            </w:r>
            <w:r w:rsidR="00DF16DD">
              <w:rPr>
                <w:rFonts w:ascii="Times New Roman" w:hAnsi="Times New Roman"/>
                <w:color w:val="000000"/>
                <w:sz w:val="21"/>
                <w:szCs w:val="21"/>
              </w:rPr>
              <w:t>6,</w:t>
            </w:r>
            <w:r w:rsidR="00B12C14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  <w:r w:rsidR="00DF16DD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881D12"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  <w:r w:rsidR="00B12C1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(6,563 mln zł dla izb administracji skarbowej i 0,301 mln zł dla Ministerstwa Finansów</w:t>
            </w:r>
            <w:r w:rsidR="00407883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 w:rsidR="00B12C14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7C1FBD54" w14:textId="6C8E25B1" w:rsidR="00881D12" w:rsidRPr="00203018" w:rsidRDefault="00881D12" w:rsidP="008B433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informacji kadrowych w zakresie </w:t>
            </w:r>
            <w:r w:rsidR="008B433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osób całkowicie niezdolnych do pracy albo </w:t>
            </w:r>
            <w:r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osób całkowicie niezdolnych do pracy oraz do samodzielnej egzystencji </w:t>
            </w:r>
            <w:r w:rsidR="00065F6B">
              <w:rPr>
                <w:rFonts w:ascii="Times New Roman" w:hAnsi="Times New Roman"/>
                <w:color w:val="000000"/>
                <w:sz w:val="21"/>
                <w:szCs w:val="21"/>
              </w:rPr>
              <w:t>albo</w:t>
            </w:r>
            <w:r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niezdolnych do </w:t>
            </w:r>
            <w:r w:rsidR="008B433C">
              <w:rPr>
                <w:rFonts w:ascii="Times New Roman" w:hAnsi="Times New Roman"/>
                <w:color w:val="000000"/>
                <w:sz w:val="21"/>
                <w:szCs w:val="21"/>
              </w:rPr>
              <w:t>samodzielnej egzystencji, jak również dzieci przysposobionych i dzieci przyjętych na wychowanie przez małżonka funkcjonariusza</w:t>
            </w:r>
            <w:r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wynika z faktu, ż</w:t>
            </w:r>
            <w:r w:rsidR="00065F6B">
              <w:rPr>
                <w:rFonts w:ascii="Times New Roman" w:hAnsi="Times New Roman"/>
                <w:color w:val="000000"/>
                <w:sz w:val="21"/>
                <w:szCs w:val="21"/>
              </w:rPr>
              <w:t>e</w:t>
            </w:r>
            <w:r w:rsidRPr="004703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informacje te dotyczą osobistej sytuacji rodzinnej funkcjonariuszy zatrudnionych w jednostkach KAS. </w:t>
            </w:r>
            <w:r w:rsidRPr="00B753E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Wielkość świadczeń dla tej grupy osób uprawnionych jest możliwa do poniesienia ze środków przyznawanych </w:t>
            </w:r>
            <w:r w:rsidR="007F5E34" w:rsidRPr="00263146">
              <w:rPr>
                <w:rFonts w:ascii="Times New Roman" w:hAnsi="Times New Roman"/>
                <w:color w:val="000000"/>
                <w:sz w:val="21"/>
                <w:szCs w:val="21"/>
              </w:rPr>
              <w:t>izbom administracji skarbowej</w:t>
            </w:r>
            <w:r w:rsidRPr="00B753E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4703EE" w:rsidRPr="00B753E1">
              <w:rPr>
                <w:rFonts w:ascii="Times New Roman" w:hAnsi="Times New Roman"/>
                <w:color w:val="000000"/>
                <w:sz w:val="21"/>
                <w:szCs w:val="21"/>
              </w:rPr>
              <w:t>w planie finansowym na dany rok budżetowy.</w:t>
            </w:r>
          </w:p>
        </w:tc>
      </w:tr>
      <w:tr w:rsidR="00AA45DF" w:rsidRPr="008B4FE6" w14:paraId="767D080F" w14:textId="77777777" w:rsidTr="002D699D">
        <w:trPr>
          <w:gridAfter w:val="1"/>
          <w:wAfter w:w="10" w:type="dxa"/>
          <w:trHeight w:val="699"/>
        </w:trPr>
        <w:tc>
          <w:tcPr>
            <w:tcW w:w="10937" w:type="dxa"/>
            <w:gridSpan w:val="27"/>
            <w:shd w:val="clear" w:color="auto" w:fill="99CCFF"/>
          </w:tcPr>
          <w:p w14:paraId="23EA81A9" w14:textId="77777777" w:rsidR="00AA45DF" w:rsidRPr="008B4FE6" w:rsidRDefault="00AA45DF" w:rsidP="002251F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AA45DF" w:rsidRPr="008B4FE6" w14:paraId="7F59E33A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5AB1538" w14:textId="77777777" w:rsidR="00AA45DF" w:rsidRPr="00301959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A45DF" w:rsidRPr="008B4FE6" w14:paraId="3B2C181D" w14:textId="77777777" w:rsidTr="009874C5">
        <w:trPr>
          <w:gridAfter w:val="1"/>
          <w:wAfter w:w="10" w:type="dxa"/>
          <w:trHeight w:val="142"/>
        </w:trPr>
        <w:tc>
          <w:tcPr>
            <w:tcW w:w="3876" w:type="dxa"/>
            <w:gridSpan w:val="8"/>
            <w:shd w:val="clear" w:color="auto" w:fill="FFFFFF"/>
          </w:tcPr>
          <w:p w14:paraId="366F18C3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F15D1DF" w14:textId="77777777" w:rsidR="00AA45DF" w:rsidRPr="00301959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3213A77" w14:textId="77777777" w:rsidR="00AA45DF" w:rsidRPr="00301959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CCCDB00" w14:textId="77777777" w:rsidR="00AA45DF" w:rsidRPr="00301959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FA3477" w14:textId="77777777" w:rsidR="00AA45DF" w:rsidRPr="00301959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BB8C2C" w14:textId="77777777" w:rsidR="00AA45DF" w:rsidRPr="00301959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BFD771B" w14:textId="77777777" w:rsidR="00AA45DF" w:rsidRPr="00301959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45CF4237" w14:textId="77777777" w:rsidR="00AA45DF" w:rsidRPr="001B3460" w:rsidRDefault="00AA45DF" w:rsidP="002251F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A45DF" w:rsidRPr="008B4FE6" w14:paraId="626F9B9D" w14:textId="77777777" w:rsidTr="009874C5">
        <w:trPr>
          <w:gridAfter w:val="1"/>
          <w:wAfter w:w="10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25A5EC19" w14:textId="77777777" w:rsidR="00AA45DF" w:rsidRDefault="00AA45DF" w:rsidP="002251F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95F5392" w14:textId="77777777" w:rsidR="00AA45DF" w:rsidRDefault="00AA45DF" w:rsidP="002251FE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915F5BD" w14:textId="77777777" w:rsidR="00AA45DF" w:rsidRPr="00301959" w:rsidRDefault="00AA45DF" w:rsidP="00734F4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734F42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2018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289" w:type="dxa"/>
            <w:gridSpan w:val="7"/>
            <w:shd w:val="clear" w:color="auto" w:fill="FFFFFF"/>
          </w:tcPr>
          <w:p w14:paraId="2A810424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288A090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8472BA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322F2B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72489082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DCD039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62D046F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080FD51E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A45DF" w:rsidRPr="008B4FE6" w14:paraId="696AC8CF" w14:textId="77777777" w:rsidTr="009874C5">
        <w:trPr>
          <w:gridAfter w:val="1"/>
          <w:wAfter w:w="10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6EB1CD52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361EA339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6892DB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6D6AA8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590E7C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678D4DD0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2EF0931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7407478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EC0E701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A45DF" w:rsidRPr="008B4FE6" w14:paraId="208F8959" w14:textId="77777777" w:rsidTr="009874C5">
        <w:trPr>
          <w:gridAfter w:val="1"/>
          <w:wAfter w:w="10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40A696EC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51F8C0E3" w14:textId="77777777" w:rsidR="00AA45DF" w:rsidRPr="00E04988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4988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0CA68C" w14:textId="49F08F8A" w:rsidR="00AA45DF" w:rsidRPr="00544B42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5E19C8" w14:textId="3029856A" w:rsidR="00AA45DF" w:rsidRPr="00E04988" w:rsidRDefault="00544B42" w:rsidP="002251F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4B42">
              <w:rPr>
                <w:rFonts w:ascii="Times New Roman" w:hAnsi="Times New Roman"/>
                <w:color w:val="000000"/>
                <w:sz w:val="18"/>
                <w:szCs w:val="18"/>
              </w:rPr>
              <w:t>4,469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C0FEE17" w14:textId="43EFFD9D" w:rsidR="00AA45DF" w:rsidRPr="00E04988" w:rsidRDefault="00544B42" w:rsidP="002251F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4B42">
              <w:rPr>
                <w:rFonts w:ascii="Times New Roman" w:hAnsi="Times New Roman"/>
                <w:color w:val="000000"/>
                <w:sz w:val="18"/>
                <w:szCs w:val="18"/>
              </w:rPr>
              <w:t>4,469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2DB96D" w14:textId="68E13C29" w:rsidR="00AA45DF" w:rsidRPr="00E04988" w:rsidRDefault="00544B42" w:rsidP="002251F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4B42">
              <w:rPr>
                <w:rFonts w:ascii="Times New Roman" w:hAnsi="Times New Roman"/>
                <w:color w:val="000000"/>
                <w:sz w:val="18"/>
                <w:szCs w:val="18"/>
              </w:rPr>
              <w:t>4,469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72F78F7" w14:textId="23CDDFB7" w:rsidR="00AA45DF" w:rsidRPr="00E04988" w:rsidRDefault="00544B42" w:rsidP="002251F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4B42">
              <w:rPr>
                <w:rFonts w:ascii="Times New Roman" w:hAnsi="Times New Roman"/>
                <w:color w:val="000000"/>
                <w:sz w:val="18"/>
                <w:szCs w:val="18"/>
              </w:rPr>
              <w:t>4,469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408AEC" w14:textId="2C0C3BC2" w:rsidR="00AA45DF" w:rsidRPr="00E04988" w:rsidRDefault="00544B42" w:rsidP="002251F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4B42">
              <w:rPr>
                <w:rFonts w:ascii="Times New Roman" w:hAnsi="Times New Roman"/>
                <w:color w:val="000000"/>
                <w:sz w:val="18"/>
                <w:szCs w:val="18"/>
              </w:rPr>
              <w:t>4,469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6E1E6EDA" w14:textId="39E18208" w:rsidR="00AA45DF" w:rsidRPr="00E04988" w:rsidRDefault="008B5FD8" w:rsidP="002251FE">
            <w:pPr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44,69</w:t>
            </w:r>
          </w:p>
        </w:tc>
      </w:tr>
      <w:tr w:rsidR="00AA45DF" w:rsidRPr="008B4FE6" w14:paraId="2631AFEE" w14:textId="77777777" w:rsidTr="009874C5">
        <w:trPr>
          <w:gridAfter w:val="1"/>
          <w:wAfter w:w="10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3D94E164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9" w:type="dxa"/>
            <w:gridSpan w:val="7"/>
            <w:shd w:val="clear" w:color="auto" w:fill="FFFFFF"/>
          </w:tcPr>
          <w:p w14:paraId="13978CCD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61" w:type="dxa"/>
            <w:gridSpan w:val="19"/>
            <w:shd w:val="clear" w:color="auto" w:fill="FFFFFF"/>
          </w:tcPr>
          <w:p w14:paraId="38015549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A45DF" w:rsidRPr="008B4FE6" w14:paraId="18A68A52" w14:textId="77777777" w:rsidTr="009874C5">
        <w:trPr>
          <w:gridAfter w:val="1"/>
          <w:wAfter w:w="10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5B371234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6AC23F70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61" w:type="dxa"/>
            <w:gridSpan w:val="19"/>
            <w:shd w:val="clear" w:color="auto" w:fill="FFFFFF"/>
          </w:tcPr>
          <w:p w14:paraId="390890C4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A45DF" w:rsidRPr="008B4FE6" w14:paraId="60FBEB06" w14:textId="77777777" w:rsidTr="002D699D">
        <w:trPr>
          <w:gridAfter w:val="1"/>
          <w:wAfter w:w="10" w:type="dxa"/>
          <w:trHeight w:val="374"/>
        </w:trPr>
        <w:tc>
          <w:tcPr>
            <w:tcW w:w="1587" w:type="dxa"/>
            <w:vMerge/>
            <w:shd w:val="clear" w:color="auto" w:fill="FFFFFF"/>
          </w:tcPr>
          <w:p w14:paraId="48151A78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6CA54DA6" w14:textId="77777777" w:rsidR="00AA45DF" w:rsidRPr="00301959" w:rsidRDefault="00AA45DF" w:rsidP="002251F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61" w:type="dxa"/>
            <w:gridSpan w:val="19"/>
            <w:shd w:val="clear" w:color="auto" w:fill="FFFFFF"/>
          </w:tcPr>
          <w:p w14:paraId="1CA0D444" w14:textId="5CE68F4F" w:rsidR="0013375B" w:rsidRPr="00B37C80" w:rsidRDefault="0013375B" w:rsidP="00734F4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A45DF" w:rsidRPr="008B4FE6" w14:paraId="1107566D" w14:textId="77777777" w:rsidTr="009874C5">
        <w:trPr>
          <w:gridAfter w:val="1"/>
          <w:wAfter w:w="10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3B743978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9" w:type="dxa"/>
            <w:gridSpan w:val="7"/>
            <w:shd w:val="clear" w:color="auto" w:fill="FFFFFF"/>
          </w:tcPr>
          <w:p w14:paraId="74CD86D5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1" w:type="dxa"/>
            <w:gridSpan w:val="19"/>
            <w:shd w:val="clear" w:color="auto" w:fill="FFFFFF"/>
          </w:tcPr>
          <w:p w14:paraId="0BBA9C35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A45DF" w:rsidRPr="008B4FE6" w14:paraId="6D686468" w14:textId="77777777" w:rsidTr="009874C5">
        <w:trPr>
          <w:gridAfter w:val="1"/>
          <w:wAfter w:w="10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618B5DC6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3A996E64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61" w:type="dxa"/>
            <w:gridSpan w:val="19"/>
            <w:shd w:val="clear" w:color="auto" w:fill="FFFFFF"/>
          </w:tcPr>
          <w:p w14:paraId="2B2CB6AA" w14:textId="77777777" w:rsidR="00AA45DF" w:rsidRPr="00B37C80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A45DF" w:rsidRPr="008B4FE6" w14:paraId="1DE65E73" w14:textId="77777777" w:rsidTr="002D699D">
        <w:trPr>
          <w:gridAfter w:val="1"/>
          <w:wAfter w:w="10" w:type="dxa"/>
          <w:trHeight w:val="1225"/>
        </w:trPr>
        <w:tc>
          <w:tcPr>
            <w:tcW w:w="2230" w:type="dxa"/>
            <w:gridSpan w:val="2"/>
            <w:shd w:val="clear" w:color="auto" w:fill="FFFFFF"/>
          </w:tcPr>
          <w:p w14:paraId="58E0E304" w14:textId="77777777" w:rsidR="00AA45DF" w:rsidRPr="00301959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14:paraId="4671E665" w14:textId="77777777" w:rsidR="00AA45DF" w:rsidRDefault="00734F42" w:rsidP="00734F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Proponowane zmiany nie mają wpływu na konkurencyjność gospodarki i przedsiębiorczość, w tym funkcjonowanie przedsiębiorców.</w:t>
            </w:r>
          </w:p>
          <w:p w14:paraId="5400CA0C" w14:textId="4E5172D9" w:rsidR="00544B42" w:rsidRDefault="008A1170" w:rsidP="00734F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544B4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kutki wpływu świadczenia w postaci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podniesionej kwoty </w:t>
            </w:r>
            <w:r w:rsidR="00544B4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dopłaty do wypoczynku wyniosą </w:t>
            </w:r>
            <w:r w:rsidR="00F05B14">
              <w:rPr>
                <w:rFonts w:ascii="Times New Roman" w:hAnsi="Times New Roman"/>
                <w:color w:val="000000"/>
                <w:sz w:val="21"/>
                <w:szCs w:val="21"/>
              </w:rPr>
              <w:t>4,469</w:t>
            </w:r>
            <w:r w:rsidR="00880E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544B42">
              <w:rPr>
                <w:rFonts w:ascii="Times New Roman" w:hAnsi="Times New Roman"/>
                <w:color w:val="000000"/>
                <w:sz w:val="21"/>
                <w:szCs w:val="21"/>
              </w:rPr>
              <w:t>mln rocznie.</w:t>
            </w:r>
          </w:p>
          <w:p w14:paraId="1AA097A5" w14:textId="25BE01A7" w:rsidR="00734F42" w:rsidRPr="00301959" w:rsidRDefault="00734F42" w:rsidP="008B43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Wdrożenie podniesienia poziomu dopłaty do wypoczynku </w:t>
            </w:r>
            <w:r w:rsidRPr="00734F4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przyczyni się do </w:t>
            </w:r>
            <w:r w:rsidRPr="00734F42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podniesienia </w:t>
            </w:r>
            <w:r w:rsidRPr="00734F4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jakości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wypoczynku funkcjonariuszy Służby Celno-Skarbowej oraz </w:t>
            </w:r>
            <w:r w:rsidR="00065F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członków ich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rodzin</w:t>
            </w:r>
            <w:r w:rsidR="00C55A97">
              <w:rPr>
                <w:rFonts w:ascii="Times New Roman" w:hAnsi="Times New Roman"/>
                <w:color w:val="000000"/>
                <w:sz w:val="21"/>
                <w:szCs w:val="21"/>
              </w:rPr>
              <w:t>, w tym niepełnosprawnych dzieci (</w:t>
            </w:r>
            <w:r w:rsidR="00E262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niezależnie od wieku</w:t>
            </w:r>
            <w:r w:rsidR="00C55A97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AA45DF" w:rsidRPr="008B4FE6" w14:paraId="16CD03BE" w14:textId="77777777" w:rsidTr="002251FE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9C21C86" w14:textId="77777777" w:rsidR="00AA45DF" w:rsidRPr="008B4FE6" w:rsidRDefault="00AA45DF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AA45DF" w:rsidRPr="008B4FE6" w14:paraId="180FD18A" w14:textId="77777777" w:rsidTr="002251FE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5215594D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45D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AA45D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A45DF" w:rsidRPr="008B4FE6" w14:paraId="70DACC6E" w14:textId="77777777" w:rsidTr="002D699D">
        <w:trPr>
          <w:gridAfter w:val="1"/>
          <w:wAfter w:w="10" w:type="dxa"/>
          <w:trHeight w:val="897"/>
        </w:trPr>
        <w:tc>
          <w:tcPr>
            <w:tcW w:w="5101" w:type="dxa"/>
            <w:gridSpan w:val="12"/>
            <w:shd w:val="clear" w:color="auto" w:fill="FFFFFF"/>
          </w:tcPr>
          <w:p w14:paraId="31E66A8F" w14:textId="77777777" w:rsidR="00AA45DF" w:rsidRDefault="00AA45DF" w:rsidP="002251F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6" w:type="dxa"/>
            <w:gridSpan w:val="15"/>
            <w:shd w:val="clear" w:color="auto" w:fill="FFFFFF"/>
          </w:tcPr>
          <w:p w14:paraId="6F92B81A" w14:textId="77777777" w:rsidR="00AA45DF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AADBA93" w14:textId="77777777" w:rsidR="00AA45DF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5DB806E" w14:textId="77777777" w:rsidR="00AA45DF" w:rsidRDefault="00734F42" w:rsidP="002251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A45D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A45DF" w:rsidRPr="008B4FE6" w14:paraId="2F364746" w14:textId="77777777" w:rsidTr="00592B13">
        <w:trPr>
          <w:gridAfter w:val="1"/>
          <w:wAfter w:w="10" w:type="dxa"/>
          <w:trHeight w:val="1071"/>
        </w:trPr>
        <w:tc>
          <w:tcPr>
            <w:tcW w:w="5101" w:type="dxa"/>
            <w:gridSpan w:val="12"/>
            <w:shd w:val="clear" w:color="auto" w:fill="FFFFFF"/>
          </w:tcPr>
          <w:p w14:paraId="14E19B50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AA45D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E100F93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9324721" w14:textId="77777777" w:rsidR="00AA45DF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AA45D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DF96D3" w14:textId="77777777" w:rsidR="00AA45DF" w:rsidRPr="008B4FE6" w:rsidRDefault="00766C01" w:rsidP="002251FE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AA45D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6" w:type="dxa"/>
            <w:gridSpan w:val="15"/>
            <w:shd w:val="clear" w:color="auto" w:fill="FFFFFF"/>
          </w:tcPr>
          <w:p w14:paraId="14AA14B1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BE87D53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11CCDBF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AA45D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90DBDC7" w14:textId="77777777" w:rsidR="00AA45DF" w:rsidRPr="008B4FE6" w:rsidRDefault="00766C01" w:rsidP="00592B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AA45D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AA45DF" w:rsidRPr="008B4FE6" w14:paraId="1C841B53" w14:textId="77777777" w:rsidTr="009874C5">
        <w:trPr>
          <w:gridAfter w:val="1"/>
          <w:wAfter w:w="10" w:type="dxa"/>
          <w:trHeight w:val="870"/>
        </w:trPr>
        <w:tc>
          <w:tcPr>
            <w:tcW w:w="5101" w:type="dxa"/>
            <w:gridSpan w:val="12"/>
            <w:shd w:val="clear" w:color="auto" w:fill="FFFFFF"/>
          </w:tcPr>
          <w:p w14:paraId="50590E69" w14:textId="77777777" w:rsidR="00AA45DF" w:rsidRPr="008B4FE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6" w:type="dxa"/>
            <w:gridSpan w:val="15"/>
            <w:shd w:val="clear" w:color="auto" w:fill="FFFFFF"/>
          </w:tcPr>
          <w:p w14:paraId="038AC503" w14:textId="77777777" w:rsidR="00AA45DF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DB4C905" w14:textId="77777777" w:rsidR="00AA45DF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B90C938" w14:textId="77777777" w:rsidR="00AA45DF" w:rsidRPr="008B4FE6" w:rsidRDefault="00734F42" w:rsidP="00592B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A45D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A45DF" w:rsidRPr="008B4FE6" w14:paraId="4003F1F2" w14:textId="77777777" w:rsidTr="00592B13">
        <w:trPr>
          <w:gridAfter w:val="1"/>
          <w:wAfter w:w="10" w:type="dxa"/>
          <w:trHeight w:val="391"/>
        </w:trPr>
        <w:tc>
          <w:tcPr>
            <w:tcW w:w="10937" w:type="dxa"/>
            <w:gridSpan w:val="27"/>
            <w:shd w:val="clear" w:color="auto" w:fill="FFFFFF"/>
          </w:tcPr>
          <w:p w14:paraId="1318F88D" w14:textId="77777777" w:rsidR="00AA45DF" w:rsidRPr="008B4FE6" w:rsidRDefault="00AA45DF" w:rsidP="002251F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734F4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A45DF" w:rsidRPr="008B4FE6" w14:paraId="3E7780C3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26597A5" w14:textId="77777777" w:rsidR="00AA45DF" w:rsidRPr="008B4FE6" w:rsidRDefault="00AA45DF" w:rsidP="002251FE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A45DF" w:rsidRPr="008B4FE6" w14:paraId="7FA25588" w14:textId="77777777" w:rsidTr="002D699D">
        <w:trPr>
          <w:gridAfter w:val="1"/>
          <w:wAfter w:w="10" w:type="dxa"/>
          <w:trHeight w:val="369"/>
        </w:trPr>
        <w:tc>
          <w:tcPr>
            <w:tcW w:w="10937" w:type="dxa"/>
            <w:gridSpan w:val="27"/>
            <w:shd w:val="clear" w:color="auto" w:fill="auto"/>
          </w:tcPr>
          <w:p w14:paraId="0993A15E" w14:textId="77777777" w:rsidR="00AA45DF" w:rsidRPr="00A82517" w:rsidRDefault="00AA45DF" w:rsidP="00FF41A1">
            <w:pPr>
              <w:pStyle w:val="Tekstpodstawowy"/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A82517">
              <w:rPr>
                <w:sz w:val="22"/>
                <w:szCs w:val="22"/>
              </w:rPr>
              <w:t>Wejście w życie rozporządzenia nie będzie miało wpływu na sytuację na rynku pracy.</w:t>
            </w:r>
          </w:p>
        </w:tc>
      </w:tr>
      <w:tr w:rsidR="00AA45DF" w:rsidRPr="008B4FE6" w14:paraId="647E70D0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1B84010" w14:textId="77777777" w:rsidR="00AA45DF" w:rsidRPr="008B4FE6" w:rsidRDefault="00AA45DF" w:rsidP="002251FE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A45DF" w:rsidRPr="008B4FE6" w14:paraId="73B50E35" w14:textId="77777777" w:rsidTr="002D699D">
        <w:trPr>
          <w:gridAfter w:val="1"/>
          <w:wAfter w:w="10" w:type="dxa"/>
          <w:trHeight w:val="764"/>
        </w:trPr>
        <w:tc>
          <w:tcPr>
            <w:tcW w:w="3537" w:type="dxa"/>
            <w:gridSpan w:val="6"/>
            <w:shd w:val="clear" w:color="auto" w:fill="FFFFFF"/>
          </w:tcPr>
          <w:p w14:paraId="61BAD4F2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7882BA4" w14:textId="77777777" w:rsidR="00AA45DF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DFF29B7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="00AA45D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9" w:type="dxa"/>
            <w:gridSpan w:val="12"/>
            <w:shd w:val="clear" w:color="auto" w:fill="FFFFFF"/>
          </w:tcPr>
          <w:p w14:paraId="60F023FA" w14:textId="77777777" w:rsidR="00AA45DF" w:rsidRPr="008B4FE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A10722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79B90F8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11" w:type="dxa"/>
            <w:gridSpan w:val="9"/>
            <w:shd w:val="clear" w:color="auto" w:fill="FFFFFF"/>
          </w:tcPr>
          <w:p w14:paraId="26157068" w14:textId="77777777" w:rsidR="00AA45DF" w:rsidRPr="008B4FE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F86186E" w14:textId="77777777" w:rsidR="00AA45DF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663F4D9" w14:textId="77777777" w:rsidR="00AA45DF" w:rsidRPr="008B4FE6" w:rsidRDefault="00766C01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5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4FFF">
              <w:rPr>
                <w:rFonts w:ascii="Times New Roman" w:hAnsi="Times New Roman"/>
                <w:color w:val="000000"/>
              </w:rPr>
            </w:r>
            <w:r w:rsidR="00B14FF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A45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5D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A45DF" w:rsidRPr="008B4FE6" w14:paraId="30C231F3" w14:textId="77777777" w:rsidTr="002D699D">
        <w:trPr>
          <w:gridAfter w:val="1"/>
          <w:wAfter w:w="10" w:type="dxa"/>
          <w:trHeight w:val="534"/>
        </w:trPr>
        <w:tc>
          <w:tcPr>
            <w:tcW w:w="2230" w:type="dxa"/>
            <w:gridSpan w:val="2"/>
            <w:shd w:val="clear" w:color="auto" w:fill="FFFFFF"/>
            <w:vAlign w:val="center"/>
          </w:tcPr>
          <w:p w14:paraId="03EEFE52" w14:textId="77777777" w:rsidR="00AA45DF" w:rsidRPr="008B4FE6" w:rsidRDefault="00AA45DF" w:rsidP="002251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14:paraId="029F3508" w14:textId="77777777" w:rsidR="00AA45DF" w:rsidRPr="008B4FE6" w:rsidRDefault="00AA45DF" w:rsidP="002251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1892">
              <w:rPr>
                <w:rFonts w:ascii="Times New Roman" w:hAnsi="Times New Roman"/>
              </w:rPr>
              <w:t>Wejście w życie rozporządzenia nie będzie miało wpływu na</w:t>
            </w:r>
            <w:r>
              <w:rPr>
                <w:rFonts w:ascii="Times New Roman" w:hAnsi="Times New Roman"/>
              </w:rPr>
              <w:t xml:space="preserve"> pozostałe obszary, np. środowisko naturalne, sytuację i rozwój regionalny, itd.</w:t>
            </w:r>
          </w:p>
        </w:tc>
      </w:tr>
      <w:tr w:rsidR="00AA45DF" w:rsidRPr="008B4FE6" w14:paraId="7E3F3C67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502FA0B" w14:textId="77777777" w:rsidR="00AA45DF" w:rsidRPr="00627221" w:rsidRDefault="00AA45DF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AA45DF" w:rsidRPr="008B4FE6" w14:paraId="3EF67F2B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AFD3566" w14:textId="77777777" w:rsidR="00AA45DF" w:rsidRPr="00B37C80" w:rsidRDefault="008814CA" w:rsidP="00395F2C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Rozporządzenie wejdzie w życie z dniem 1 </w:t>
            </w:r>
            <w:r w:rsidR="00395F2C">
              <w:rPr>
                <w:rFonts w:ascii="Times New Roman" w:eastAsia="Times New Roman" w:hAnsi="Times New Roman"/>
                <w:lang w:eastAsia="pl-PL"/>
              </w:rPr>
              <w:t>stycznia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201</w:t>
            </w:r>
            <w:r w:rsidR="00395F2C">
              <w:rPr>
                <w:rFonts w:ascii="Times New Roman" w:eastAsia="Times New Roman" w:hAnsi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AA45DF" w:rsidRPr="008B4FE6" w14:paraId="7A029CDF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1796ACB" w14:textId="77777777" w:rsidR="00AA45DF" w:rsidRPr="008B4FE6" w:rsidRDefault="00AA45DF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AA45DF" w:rsidRPr="008B4FE6" w14:paraId="7D7F39F7" w14:textId="77777777" w:rsidTr="002D699D">
        <w:trPr>
          <w:gridAfter w:val="1"/>
          <w:wAfter w:w="10" w:type="dxa"/>
          <w:trHeight w:val="574"/>
        </w:trPr>
        <w:tc>
          <w:tcPr>
            <w:tcW w:w="10937" w:type="dxa"/>
            <w:gridSpan w:val="27"/>
            <w:shd w:val="clear" w:color="auto" w:fill="FFFFFF"/>
          </w:tcPr>
          <w:p w14:paraId="514920E1" w14:textId="77777777" w:rsidR="00AA45DF" w:rsidRPr="00B37C80" w:rsidRDefault="00AA45DF" w:rsidP="00FF41A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przedmiot regulacji nie jest planowana ewaluacja efektów projektu, a tym samym nie przewiduje się stosowania mierników dla tej ewaluacji.</w:t>
            </w:r>
          </w:p>
        </w:tc>
      </w:tr>
      <w:tr w:rsidR="00AA45DF" w:rsidRPr="008B4FE6" w14:paraId="668711FB" w14:textId="77777777" w:rsidTr="002251FE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4DFBDF5" w14:textId="77777777" w:rsidR="00AA45DF" w:rsidRPr="008B4FE6" w:rsidRDefault="00AA45DF" w:rsidP="002251F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A45DF" w:rsidRPr="008B4FE6" w14:paraId="618961A2" w14:textId="77777777" w:rsidTr="00592B13">
        <w:trPr>
          <w:gridAfter w:val="1"/>
          <w:wAfter w:w="10" w:type="dxa"/>
          <w:trHeight w:val="50"/>
        </w:trPr>
        <w:tc>
          <w:tcPr>
            <w:tcW w:w="10937" w:type="dxa"/>
            <w:gridSpan w:val="27"/>
            <w:shd w:val="clear" w:color="auto" w:fill="FFFFFF"/>
          </w:tcPr>
          <w:p w14:paraId="66C9A9F1" w14:textId="77777777" w:rsidR="00AA45DF" w:rsidRPr="00B37C80" w:rsidRDefault="00AA45DF" w:rsidP="002251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E7370F2" w14:textId="77777777" w:rsidR="001B45A6" w:rsidRPr="00203018" w:rsidRDefault="001B45A6" w:rsidP="00203018">
      <w:pPr>
        <w:pStyle w:val="Nagwek1"/>
        <w:rPr>
          <w:rFonts w:ascii="Times New Roman" w:hAnsi="Times New Roman"/>
          <w:sz w:val="20"/>
          <w:szCs w:val="20"/>
        </w:rPr>
      </w:pPr>
    </w:p>
    <w:sectPr w:rsidR="001B45A6" w:rsidRPr="00203018" w:rsidSect="002251FE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91AD" w14:textId="77777777" w:rsidR="007307D5" w:rsidRDefault="007307D5">
      <w:r>
        <w:separator/>
      </w:r>
    </w:p>
  </w:endnote>
  <w:endnote w:type="continuationSeparator" w:id="0">
    <w:p w14:paraId="01A3A6B6" w14:textId="77777777" w:rsidR="007307D5" w:rsidRDefault="007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69E8" w14:textId="77777777" w:rsidR="007307D5" w:rsidRDefault="007307D5">
      <w:r>
        <w:separator/>
      </w:r>
    </w:p>
  </w:footnote>
  <w:footnote w:type="continuationSeparator" w:id="0">
    <w:p w14:paraId="7C1DAC23" w14:textId="77777777" w:rsidR="007307D5" w:rsidRDefault="0073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EEF"/>
    <w:multiLevelType w:val="hybridMultilevel"/>
    <w:tmpl w:val="E6B67A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B31C1"/>
    <w:multiLevelType w:val="hybridMultilevel"/>
    <w:tmpl w:val="924E5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FE"/>
    <w:rsid w:val="00023142"/>
    <w:rsid w:val="0002689D"/>
    <w:rsid w:val="00031647"/>
    <w:rsid w:val="00047148"/>
    <w:rsid w:val="0004797D"/>
    <w:rsid w:val="000500F5"/>
    <w:rsid w:val="00053D23"/>
    <w:rsid w:val="00060FBC"/>
    <w:rsid w:val="00065F6B"/>
    <w:rsid w:val="000819BF"/>
    <w:rsid w:val="000A398E"/>
    <w:rsid w:val="000A3BCA"/>
    <w:rsid w:val="000C662F"/>
    <w:rsid w:val="000D16A7"/>
    <w:rsid w:val="000D2FEC"/>
    <w:rsid w:val="000E1810"/>
    <w:rsid w:val="000E53A2"/>
    <w:rsid w:val="000F075A"/>
    <w:rsid w:val="000F29CF"/>
    <w:rsid w:val="00100ACC"/>
    <w:rsid w:val="001022D2"/>
    <w:rsid w:val="0010269A"/>
    <w:rsid w:val="001045BA"/>
    <w:rsid w:val="001077AC"/>
    <w:rsid w:val="001245EB"/>
    <w:rsid w:val="001332A0"/>
    <w:rsid w:val="0013375B"/>
    <w:rsid w:val="001404C5"/>
    <w:rsid w:val="00142776"/>
    <w:rsid w:val="00153B3D"/>
    <w:rsid w:val="0015692D"/>
    <w:rsid w:val="00164E2E"/>
    <w:rsid w:val="00166E12"/>
    <w:rsid w:val="001864E7"/>
    <w:rsid w:val="00191656"/>
    <w:rsid w:val="00192AA4"/>
    <w:rsid w:val="001A249D"/>
    <w:rsid w:val="001A3785"/>
    <w:rsid w:val="001B45A6"/>
    <w:rsid w:val="001B6E32"/>
    <w:rsid w:val="001C0A53"/>
    <w:rsid w:val="001C5FC5"/>
    <w:rsid w:val="001D1BEF"/>
    <w:rsid w:val="001E35A1"/>
    <w:rsid w:val="001E433F"/>
    <w:rsid w:val="001E6C18"/>
    <w:rsid w:val="00203018"/>
    <w:rsid w:val="00214864"/>
    <w:rsid w:val="002251FE"/>
    <w:rsid w:val="0022630E"/>
    <w:rsid w:val="002364FB"/>
    <w:rsid w:val="0024389F"/>
    <w:rsid w:val="00251942"/>
    <w:rsid w:val="00256654"/>
    <w:rsid w:val="00260F85"/>
    <w:rsid w:val="00263146"/>
    <w:rsid w:val="0027046A"/>
    <w:rsid w:val="00271AA4"/>
    <w:rsid w:val="00281149"/>
    <w:rsid w:val="0028404F"/>
    <w:rsid w:val="0028689F"/>
    <w:rsid w:val="00290F74"/>
    <w:rsid w:val="002929E9"/>
    <w:rsid w:val="00294D9D"/>
    <w:rsid w:val="00297DAE"/>
    <w:rsid w:val="002A5BEA"/>
    <w:rsid w:val="002D5777"/>
    <w:rsid w:val="002D699D"/>
    <w:rsid w:val="002E0764"/>
    <w:rsid w:val="002E59B3"/>
    <w:rsid w:val="002F02A2"/>
    <w:rsid w:val="00301045"/>
    <w:rsid w:val="00302CDB"/>
    <w:rsid w:val="003505AB"/>
    <w:rsid w:val="00361284"/>
    <w:rsid w:val="00370298"/>
    <w:rsid w:val="00372526"/>
    <w:rsid w:val="003808A7"/>
    <w:rsid w:val="0038195B"/>
    <w:rsid w:val="00385D2A"/>
    <w:rsid w:val="00386C59"/>
    <w:rsid w:val="00395F2C"/>
    <w:rsid w:val="00397FF2"/>
    <w:rsid w:val="003A7694"/>
    <w:rsid w:val="003A7F68"/>
    <w:rsid w:val="003B0B6A"/>
    <w:rsid w:val="003C0AFC"/>
    <w:rsid w:val="003C18C1"/>
    <w:rsid w:val="003C2ED0"/>
    <w:rsid w:val="003C7AF4"/>
    <w:rsid w:val="003C7D36"/>
    <w:rsid w:val="003D5513"/>
    <w:rsid w:val="003E0B83"/>
    <w:rsid w:val="003E53D1"/>
    <w:rsid w:val="003E5B76"/>
    <w:rsid w:val="00407883"/>
    <w:rsid w:val="00430ED3"/>
    <w:rsid w:val="0044099C"/>
    <w:rsid w:val="004621EB"/>
    <w:rsid w:val="004672E5"/>
    <w:rsid w:val="00467C17"/>
    <w:rsid w:val="004703EE"/>
    <w:rsid w:val="00473F3D"/>
    <w:rsid w:val="0049337A"/>
    <w:rsid w:val="004B22F2"/>
    <w:rsid w:val="004C6FC5"/>
    <w:rsid w:val="004D08A9"/>
    <w:rsid w:val="004D565E"/>
    <w:rsid w:val="00507551"/>
    <w:rsid w:val="00514ED8"/>
    <w:rsid w:val="00515BCB"/>
    <w:rsid w:val="00520413"/>
    <w:rsid w:val="00524887"/>
    <w:rsid w:val="00524C1E"/>
    <w:rsid w:val="00532A7E"/>
    <w:rsid w:val="00544B42"/>
    <w:rsid w:val="00552726"/>
    <w:rsid w:val="00554F25"/>
    <w:rsid w:val="00556657"/>
    <w:rsid w:val="00570ED2"/>
    <w:rsid w:val="00572D84"/>
    <w:rsid w:val="0057535E"/>
    <w:rsid w:val="00575587"/>
    <w:rsid w:val="00576A0E"/>
    <w:rsid w:val="00580C73"/>
    <w:rsid w:val="00584332"/>
    <w:rsid w:val="00592B13"/>
    <w:rsid w:val="00592F1E"/>
    <w:rsid w:val="005A110D"/>
    <w:rsid w:val="005A6FF7"/>
    <w:rsid w:val="005B1E06"/>
    <w:rsid w:val="005B627A"/>
    <w:rsid w:val="005C74C4"/>
    <w:rsid w:val="005D4D02"/>
    <w:rsid w:val="005D7FDE"/>
    <w:rsid w:val="005E322B"/>
    <w:rsid w:val="006049BA"/>
    <w:rsid w:val="006208E1"/>
    <w:rsid w:val="006228F8"/>
    <w:rsid w:val="0063543F"/>
    <w:rsid w:val="00645DCD"/>
    <w:rsid w:val="00651739"/>
    <w:rsid w:val="00655712"/>
    <w:rsid w:val="00661217"/>
    <w:rsid w:val="00665533"/>
    <w:rsid w:val="00666A2C"/>
    <w:rsid w:val="006865E1"/>
    <w:rsid w:val="00692594"/>
    <w:rsid w:val="006B185F"/>
    <w:rsid w:val="006B634A"/>
    <w:rsid w:val="006D77A2"/>
    <w:rsid w:val="006E31CA"/>
    <w:rsid w:val="006E54F2"/>
    <w:rsid w:val="006F253C"/>
    <w:rsid w:val="006F4465"/>
    <w:rsid w:val="00713FC2"/>
    <w:rsid w:val="007307D5"/>
    <w:rsid w:val="007314FA"/>
    <w:rsid w:val="00734F42"/>
    <w:rsid w:val="00735C8C"/>
    <w:rsid w:val="007374D5"/>
    <w:rsid w:val="00743FDC"/>
    <w:rsid w:val="00761B66"/>
    <w:rsid w:val="00766C01"/>
    <w:rsid w:val="00772259"/>
    <w:rsid w:val="00777810"/>
    <w:rsid w:val="00782E75"/>
    <w:rsid w:val="007A3A06"/>
    <w:rsid w:val="007A3B79"/>
    <w:rsid w:val="007A5D67"/>
    <w:rsid w:val="007B092D"/>
    <w:rsid w:val="007B1F25"/>
    <w:rsid w:val="007B3FC1"/>
    <w:rsid w:val="007C60AD"/>
    <w:rsid w:val="007C6D25"/>
    <w:rsid w:val="007D0FCB"/>
    <w:rsid w:val="007E4720"/>
    <w:rsid w:val="007F1C06"/>
    <w:rsid w:val="007F5E34"/>
    <w:rsid w:val="008003AC"/>
    <w:rsid w:val="008012AC"/>
    <w:rsid w:val="00802A01"/>
    <w:rsid w:val="00820D0F"/>
    <w:rsid w:val="0082468A"/>
    <w:rsid w:val="00824964"/>
    <w:rsid w:val="008428DD"/>
    <w:rsid w:val="00844FC3"/>
    <w:rsid w:val="00850DCF"/>
    <w:rsid w:val="0085397C"/>
    <w:rsid w:val="00853B14"/>
    <w:rsid w:val="00854901"/>
    <w:rsid w:val="00863F4F"/>
    <w:rsid w:val="008759FF"/>
    <w:rsid w:val="00880E23"/>
    <w:rsid w:val="008814CA"/>
    <w:rsid w:val="00881D12"/>
    <w:rsid w:val="00892079"/>
    <w:rsid w:val="00896C0A"/>
    <w:rsid w:val="008A1170"/>
    <w:rsid w:val="008A7B6D"/>
    <w:rsid w:val="008B433C"/>
    <w:rsid w:val="008B4503"/>
    <w:rsid w:val="008B5FD8"/>
    <w:rsid w:val="008D372D"/>
    <w:rsid w:val="008D6BC0"/>
    <w:rsid w:val="008D7EE4"/>
    <w:rsid w:val="008E6EEC"/>
    <w:rsid w:val="008F3BD7"/>
    <w:rsid w:val="009100E2"/>
    <w:rsid w:val="009327AF"/>
    <w:rsid w:val="00947B33"/>
    <w:rsid w:val="0095509E"/>
    <w:rsid w:val="0096061A"/>
    <w:rsid w:val="009646A7"/>
    <w:rsid w:val="00970112"/>
    <w:rsid w:val="00982272"/>
    <w:rsid w:val="0098237B"/>
    <w:rsid w:val="0098674D"/>
    <w:rsid w:val="009874C5"/>
    <w:rsid w:val="009915D9"/>
    <w:rsid w:val="0099471F"/>
    <w:rsid w:val="009A769B"/>
    <w:rsid w:val="009B76B5"/>
    <w:rsid w:val="009C0AE3"/>
    <w:rsid w:val="009C5F3D"/>
    <w:rsid w:val="009C5F4E"/>
    <w:rsid w:val="009D564D"/>
    <w:rsid w:val="009E1884"/>
    <w:rsid w:val="009E1AA4"/>
    <w:rsid w:val="009E5F8A"/>
    <w:rsid w:val="009E67B5"/>
    <w:rsid w:val="009F53A2"/>
    <w:rsid w:val="00A06BF7"/>
    <w:rsid w:val="00A10A0A"/>
    <w:rsid w:val="00A20352"/>
    <w:rsid w:val="00A21FBD"/>
    <w:rsid w:val="00A23A50"/>
    <w:rsid w:val="00A76A49"/>
    <w:rsid w:val="00A76FC1"/>
    <w:rsid w:val="00A77155"/>
    <w:rsid w:val="00A8399C"/>
    <w:rsid w:val="00A95CF1"/>
    <w:rsid w:val="00AA45DF"/>
    <w:rsid w:val="00AA6BC1"/>
    <w:rsid w:val="00AB070C"/>
    <w:rsid w:val="00AB29ED"/>
    <w:rsid w:val="00AB6B61"/>
    <w:rsid w:val="00AB7230"/>
    <w:rsid w:val="00AB774E"/>
    <w:rsid w:val="00AC7084"/>
    <w:rsid w:val="00AD5EB8"/>
    <w:rsid w:val="00AE2CCF"/>
    <w:rsid w:val="00AE76AF"/>
    <w:rsid w:val="00AF4CD1"/>
    <w:rsid w:val="00B02A17"/>
    <w:rsid w:val="00B113DD"/>
    <w:rsid w:val="00B12C14"/>
    <w:rsid w:val="00B1432E"/>
    <w:rsid w:val="00B14FFF"/>
    <w:rsid w:val="00B21843"/>
    <w:rsid w:val="00B2442D"/>
    <w:rsid w:val="00B303A6"/>
    <w:rsid w:val="00B37415"/>
    <w:rsid w:val="00B418EB"/>
    <w:rsid w:val="00B453F3"/>
    <w:rsid w:val="00B72757"/>
    <w:rsid w:val="00B753E1"/>
    <w:rsid w:val="00B7676E"/>
    <w:rsid w:val="00B81299"/>
    <w:rsid w:val="00B87540"/>
    <w:rsid w:val="00B87A8A"/>
    <w:rsid w:val="00B96F3F"/>
    <w:rsid w:val="00B978F0"/>
    <w:rsid w:val="00BA24E4"/>
    <w:rsid w:val="00BA67F7"/>
    <w:rsid w:val="00BB3E62"/>
    <w:rsid w:val="00BB681C"/>
    <w:rsid w:val="00BD7FC2"/>
    <w:rsid w:val="00BE3943"/>
    <w:rsid w:val="00BE4953"/>
    <w:rsid w:val="00BE62E4"/>
    <w:rsid w:val="00BF6B52"/>
    <w:rsid w:val="00C00A31"/>
    <w:rsid w:val="00C00A88"/>
    <w:rsid w:val="00C16107"/>
    <w:rsid w:val="00C26E6B"/>
    <w:rsid w:val="00C45A45"/>
    <w:rsid w:val="00C53AB6"/>
    <w:rsid w:val="00C55A97"/>
    <w:rsid w:val="00C7371F"/>
    <w:rsid w:val="00CA2167"/>
    <w:rsid w:val="00CA6201"/>
    <w:rsid w:val="00CA7259"/>
    <w:rsid w:val="00CB00B5"/>
    <w:rsid w:val="00CB29CA"/>
    <w:rsid w:val="00CB4EB8"/>
    <w:rsid w:val="00CB7759"/>
    <w:rsid w:val="00CC444C"/>
    <w:rsid w:val="00CC5654"/>
    <w:rsid w:val="00CD0220"/>
    <w:rsid w:val="00CD2716"/>
    <w:rsid w:val="00CD34A4"/>
    <w:rsid w:val="00CD6E7A"/>
    <w:rsid w:val="00CE1A0F"/>
    <w:rsid w:val="00CF5D58"/>
    <w:rsid w:val="00D016E8"/>
    <w:rsid w:val="00D023A1"/>
    <w:rsid w:val="00D152AB"/>
    <w:rsid w:val="00D330B6"/>
    <w:rsid w:val="00D35FFA"/>
    <w:rsid w:val="00D40F6B"/>
    <w:rsid w:val="00D5046E"/>
    <w:rsid w:val="00D53A2A"/>
    <w:rsid w:val="00D5485D"/>
    <w:rsid w:val="00D55003"/>
    <w:rsid w:val="00D62437"/>
    <w:rsid w:val="00D726AF"/>
    <w:rsid w:val="00D772AC"/>
    <w:rsid w:val="00D80ACF"/>
    <w:rsid w:val="00D80F38"/>
    <w:rsid w:val="00D81C60"/>
    <w:rsid w:val="00D81FD4"/>
    <w:rsid w:val="00D8258B"/>
    <w:rsid w:val="00D94AA1"/>
    <w:rsid w:val="00D97E84"/>
    <w:rsid w:val="00DA4DA9"/>
    <w:rsid w:val="00DC1DCC"/>
    <w:rsid w:val="00DC2438"/>
    <w:rsid w:val="00DC470A"/>
    <w:rsid w:val="00DD3A05"/>
    <w:rsid w:val="00DF0168"/>
    <w:rsid w:val="00DF16DD"/>
    <w:rsid w:val="00DF1C9F"/>
    <w:rsid w:val="00DF29E2"/>
    <w:rsid w:val="00E03CD8"/>
    <w:rsid w:val="00E04988"/>
    <w:rsid w:val="00E143C0"/>
    <w:rsid w:val="00E22F89"/>
    <w:rsid w:val="00E25D6E"/>
    <w:rsid w:val="00E26297"/>
    <w:rsid w:val="00E279D5"/>
    <w:rsid w:val="00E301E7"/>
    <w:rsid w:val="00E34929"/>
    <w:rsid w:val="00E4440B"/>
    <w:rsid w:val="00E45EF5"/>
    <w:rsid w:val="00E575FB"/>
    <w:rsid w:val="00E6632F"/>
    <w:rsid w:val="00E73E11"/>
    <w:rsid w:val="00E744AF"/>
    <w:rsid w:val="00E76A03"/>
    <w:rsid w:val="00E76C5C"/>
    <w:rsid w:val="00E777B5"/>
    <w:rsid w:val="00E80CC7"/>
    <w:rsid w:val="00E901DD"/>
    <w:rsid w:val="00EB59AC"/>
    <w:rsid w:val="00EC2D6A"/>
    <w:rsid w:val="00EC4C3F"/>
    <w:rsid w:val="00EC5621"/>
    <w:rsid w:val="00ED15BF"/>
    <w:rsid w:val="00EE389C"/>
    <w:rsid w:val="00EF0055"/>
    <w:rsid w:val="00F05B14"/>
    <w:rsid w:val="00F11F45"/>
    <w:rsid w:val="00F17636"/>
    <w:rsid w:val="00F21C6C"/>
    <w:rsid w:val="00F40D7B"/>
    <w:rsid w:val="00F43CA4"/>
    <w:rsid w:val="00F44B5A"/>
    <w:rsid w:val="00F46B67"/>
    <w:rsid w:val="00F522DB"/>
    <w:rsid w:val="00F57E5A"/>
    <w:rsid w:val="00F64310"/>
    <w:rsid w:val="00F64BD6"/>
    <w:rsid w:val="00F67133"/>
    <w:rsid w:val="00F72802"/>
    <w:rsid w:val="00F7467C"/>
    <w:rsid w:val="00F87D50"/>
    <w:rsid w:val="00F910AC"/>
    <w:rsid w:val="00FA4A5E"/>
    <w:rsid w:val="00FA6ACC"/>
    <w:rsid w:val="00FD5D95"/>
    <w:rsid w:val="00FD5FF2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CA94E"/>
  <w15:docId w15:val="{B370E16E-62D6-4A3A-AEE8-235072F9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FE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251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251FE"/>
    <w:rPr>
      <w:color w:val="0000FF"/>
      <w:u w:val="single"/>
    </w:rPr>
  </w:style>
  <w:style w:type="paragraph" w:styleId="Tekstpodstawowy">
    <w:name w:val="Body Text"/>
    <w:basedOn w:val="Normalny"/>
    <w:rsid w:val="002251F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aliases w:val="Normalny + Arial,11 pt,Wyrównany do środka,Z prawej:  0,13 cm"/>
    <w:qFormat/>
    <w:rsid w:val="00D726AF"/>
    <w:rPr>
      <w:b/>
      <w:bCs/>
    </w:rPr>
  </w:style>
  <w:style w:type="paragraph" w:styleId="Tekstprzypisukocowego">
    <w:name w:val="endnote text"/>
    <w:basedOn w:val="Normalny"/>
    <w:semiHidden/>
    <w:rsid w:val="00D94AA1"/>
    <w:rPr>
      <w:sz w:val="20"/>
      <w:szCs w:val="20"/>
    </w:rPr>
  </w:style>
  <w:style w:type="character" w:styleId="Odwoanieprzypisukocowego">
    <w:name w:val="endnote reference"/>
    <w:semiHidden/>
    <w:rsid w:val="00D94AA1"/>
    <w:rPr>
      <w:vertAlign w:val="superscript"/>
    </w:rPr>
  </w:style>
  <w:style w:type="paragraph" w:styleId="Tekstdymka">
    <w:name w:val="Balloon Text"/>
    <w:basedOn w:val="Normalny"/>
    <w:semiHidden/>
    <w:rsid w:val="00B418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B6E3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E53D1"/>
    <w:pPr>
      <w:spacing w:line="240" w:lineRule="auto"/>
      <w:ind w:left="720"/>
      <w:contextualSpacing/>
    </w:pPr>
    <w:rPr>
      <w:rFonts w:cs="Calibri"/>
      <w:color w:val="000000"/>
    </w:rPr>
  </w:style>
  <w:style w:type="paragraph" w:customStyle="1" w:styleId="Default">
    <w:name w:val="Default"/>
    <w:rsid w:val="00BF6B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F67133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F67133"/>
    <w:pPr>
      <w:ind w:left="284" w:hanging="284"/>
      <w:jc w:val="both"/>
    </w:pPr>
    <w:rPr>
      <w:rFonts w:eastAsiaTheme="minorEastAsia" w:cs="Arial"/>
    </w:rPr>
  </w:style>
  <w:style w:type="character" w:styleId="Odwoaniedokomentarza">
    <w:name w:val="annotation reference"/>
    <w:basedOn w:val="Domylnaczcionkaakapitu"/>
    <w:semiHidden/>
    <w:unhideWhenUsed/>
    <w:rsid w:val="00385D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5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5D2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5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5D2A"/>
    <w:rPr>
      <w:rFonts w:ascii="Calibri" w:eastAsia="Calibri" w:hAnsi="Calibri"/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0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04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2EF0-3A12-48AD-95B7-51423D96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Ministerstwo Finansów</Company>
  <LinksUpToDate>false</LinksUpToDate>
  <CharactersWithSpaces>10516</CharactersWithSpaces>
  <SharedDoc>false</SharedDoc>
  <HLinks>
    <vt:vector size="12" baseType="variant">
      <vt:variant>
        <vt:i4>2949134</vt:i4>
      </vt:variant>
      <vt:variant>
        <vt:i4>3</vt:i4>
      </vt:variant>
      <vt:variant>
        <vt:i4>0</vt:i4>
      </vt:variant>
      <vt:variant>
        <vt:i4>5</vt:i4>
      </vt:variant>
      <vt:variant>
        <vt:lpwstr>mailto:izabela.jaworska@mf.gov.pl</vt:lpwstr>
      </vt:variant>
      <vt:variant>
        <vt:lpwstr/>
      </vt:variant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mailto:robert.luszczynski@mf.gov.pl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>Urszula Oleszczuk</dc:creator>
  <cp:lastModifiedBy>Boczek Anna</cp:lastModifiedBy>
  <cp:revision>2</cp:revision>
  <cp:lastPrinted>2018-10-31T10:34:00Z</cp:lastPrinted>
  <dcterms:created xsi:type="dcterms:W3CDTF">2018-11-06T11:57:00Z</dcterms:created>
  <dcterms:modified xsi:type="dcterms:W3CDTF">2018-11-06T11:57:00Z</dcterms:modified>
</cp:coreProperties>
</file>