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56" w:rsidRPr="00F34D7C" w:rsidRDefault="00B42A56" w:rsidP="00B42A56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F34D7C">
        <w:rPr>
          <w:b/>
        </w:rPr>
        <w:t>UZASADNIENIE</w:t>
      </w:r>
    </w:p>
    <w:p w:rsidR="00B42A56" w:rsidRPr="00F34D7C" w:rsidRDefault="00B42A56" w:rsidP="00B42A56">
      <w:pPr>
        <w:autoSpaceDE w:val="0"/>
        <w:autoSpaceDN w:val="0"/>
        <w:adjustRightInd w:val="0"/>
        <w:spacing w:line="336" w:lineRule="auto"/>
        <w:jc w:val="center"/>
        <w:rPr>
          <w:b/>
        </w:rPr>
      </w:pPr>
    </w:p>
    <w:p w:rsidR="00C7034D" w:rsidRDefault="00CF276A" w:rsidP="000E2C9E">
      <w:pPr>
        <w:spacing w:before="120" w:line="312" w:lineRule="auto"/>
        <w:ind w:firstLine="708"/>
        <w:jc w:val="both"/>
        <w:rPr>
          <w:bCs/>
        </w:rPr>
      </w:pPr>
      <w:r>
        <w:t xml:space="preserve">Projekt rozporządzenia </w:t>
      </w:r>
      <w:r w:rsidR="00B42A56" w:rsidRPr="00582E58">
        <w:t>w sprawie ocen okresowych i opinii sł</w:t>
      </w:r>
      <w:r>
        <w:t>użbowych funkcjonariuszy Służby Celno-Skarbowej stanowi wykonanie upoważnienia ustawowego zawartego w art.</w:t>
      </w:r>
      <w:r w:rsidR="00C7034D">
        <w:t xml:space="preserve"> 20</w:t>
      </w:r>
      <w:r>
        <w:t>6 ust. 6 ustawy z dnia 16 listopada 2016 r.</w:t>
      </w:r>
      <w:r w:rsidR="00C7034D">
        <w:t xml:space="preserve"> o Krajowej Administracji Skarbowej</w:t>
      </w:r>
      <w:r>
        <w:t xml:space="preserve"> (Dz. U. poz. 1947, z późn zm.).</w:t>
      </w:r>
      <w:r w:rsidR="00B42A56" w:rsidRPr="00582E58">
        <w:t xml:space="preserve"> </w:t>
      </w:r>
      <w:r w:rsidRPr="00A95CDC">
        <w:rPr>
          <w:bCs/>
        </w:rPr>
        <w:t>Z</w:t>
      </w:r>
      <w:r>
        <w:rPr>
          <w:bCs/>
        </w:rPr>
        <w:t>godnie z art. 206 ustawy o Krajowej Administracji Skarbowej funkcjonariusze Służby Celno-Skarbowej podlegają ocenie okresowej dokonywanej raz na 2 lata. Niezależnie od oceny okresowej może być wydana opinia służbowa dotycząca przebiegu służby funkcjonariusza</w:t>
      </w:r>
      <w:r w:rsidR="00C7034D">
        <w:rPr>
          <w:bCs/>
        </w:rPr>
        <w:t xml:space="preserve">. </w:t>
      </w:r>
      <w:r>
        <w:rPr>
          <w:bCs/>
        </w:rPr>
        <w:t>W projekcie rozporządzenia uregulowano szczegółowe kwestie dotyczące oceniania bądź opi</w:t>
      </w:r>
      <w:r w:rsidR="00C7034D">
        <w:rPr>
          <w:bCs/>
        </w:rPr>
        <w:t>niowania funkcjonariuszy.</w:t>
      </w:r>
    </w:p>
    <w:p w:rsidR="003E4EAE" w:rsidRDefault="00CF276A" w:rsidP="000E2C9E">
      <w:pPr>
        <w:spacing w:before="120" w:line="312" w:lineRule="auto"/>
        <w:jc w:val="both"/>
        <w:rPr>
          <w:bCs/>
        </w:rPr>
      </w:pPr>
      <w:r>
        <w:rPr>
          <w:bCs/>
        </w:rPr>
        <w:t>Pr</w:t>
      </w:r>
      <w:r w:rsidR="00BA393A">
        <w:rPr>
          <w:bCs/>
        </w:rPr>
        <w:t>ojekt zakłada</w:t>
      </w:r>
      <w:r>
        <w:rPr>
          <w:bCs/>
        </w:rPr>
        <w:t xml:space="preserve">, że przy ocenie </w:t>
      </w:r>
      <w:r w:rsidR="005D63D5">
        <w:rPr>
          <w:bCs/>
        </w:rPr>
        <w:t xml:space="preserve">okresowej </w:t>
      </w:r>
      <w:r>
        <w:rPr>
          <w:bCs/>
        </w:rPr>
        <w:t xml:space="preserve">bierze się pod uwagę </w:t>
      </w:r>
      <w:r w:rsidR="003E4EAE">
        <w:rPr>
          <w:bCs/>
        </w:rPr>
        <w:t>następujące kryteria:</w:t>
      </w:r>
    </w:p>
    <w:p w:rsidR="003E4EAE" w:rsidRDefault="003E4EAE" w:rsidP="000E2C9E">
      <w:pPr>
        <w:spacing w:before="120" w:line="312" w:lineRule="auto"/>
        <w:jc w:val="both"/>
        <w:rPr>
          <w:bCs/>
        </w:rPr>
      </w:pPr>
      <w:r>
        <w:rPr>
          <w:bCs/>
        </w:rPr>
        <w:t xml:space="preserve">1) </w:t>
      </w:r>
      <w:r w:rsidR="00CF276A">
        <w:rPr>
          <w:bCs/>
        </w:rPr>
        <w:t>realizację zadań wynikających z karty zakresu obowiązków i uprawnień funkcjonariusza</w:t>
      </w:r>
      <w:r w:rsidR="006872B5">
        <w:rPr>
          <w:bCs/>
        </w:rPr>
        <w:t>,</w:t>
      </w:r>
    </w:p>
    <w:p w:rsidR="003E4EAE" w:rsidRDefault="003E4EAE" w:rsidP="000E2C9E">
      <w:pPr>
        <w:spacing w:before="120" w:line="312" w:lineRule="auto"/>
        <w:jc w:val="both"/>
        <w:rPr>
          <w:bCs/>
        </w:rPr>
      </w:pPr>
      <w:r>
        <w:rPr>
          <w:bCs/>
        </w:rPr>
        <w:t>2) posiadane przez funkcjonariusza kompetencje.</w:t>
      </w:r>
    </w:p>
    <w:p w:rsidR="009658F8" w:rsidRDefault="001A7067" w:rsidP="000E2C9E">
      <w:pPr>
        <w:spacing w:before="120" w:line="312" w:lineRule="auto"/>
        <w:jc w:val="both"/>
        <w:rPr>
          <w:bCs/>
        </w:rPr>
      </w:pPr>
      <w:r>
        <w:rPr>
          <w:bCs/>
        </w:rPr>
        <w:t>W</w:t>
      </w:r>
      <w:r w:rsidR="003E4EAE">
        <w:rPr>
          <w:bCs/>
        </w:rPr>
        <w:t xml:space="preserve"> projekcie przyjęto, że ocena realizacji zadań w ocenie okresowej będzie obejmowała główne zadania wynikające z karty zakresu obowiązków i uprawnień funkcjonariusz</w:t>
      </w:r>
      <w:r w:rsidR="006872B5">
        <w:rPr>
          <w:bCs/>
        </w:rPr>
        <w:t xml:space="preserve">a. </w:t>
      </w:r>
      <w:r>
        <w:rPr>
          <w:bCs/>
        </w:rPr>
        <w:t xml:space="preserve">Karty zakresu obowiązków i uprawnień mogą obejmować dużą ilość zadań (np. w oddziałach celnych karty wskazują nawet 30 zadań). W wielu przypadkach karty zakresu obowiązków i uprawnień zawierają wszystkie zadania przypisane danej komórce, w rzeczywistości jednak funkcjonariusz specjalizuje się w konkretnych zadaniach, które najczęściej wykonuje, pozostałe zadania wykonuje w sytuacjach sporadycznych. Zasadnym jest zatem dokonywanie oceny okresowej w oparciu o główne zadania realizowane przez funkcjonariusza. </w:t>
      </w:r>
      <w:r w:rsidR="006872B5">
        <w:rPr>
          <w:bCs/>
        </w:rPr>
        <w:t xml:space="preserve">Przy </w:t>
      </w:r>
      <w:r w:rsidR="003E4EAE">
        <w:rPr>
          <w:bCs/>
        </w:rPr>
        <w:t>ocenie</w:t>
      </w:r>
      <w:r w:rsidR="006872B5">
        <w:rPr>
          <w:bCs/>
        </w:rPr>
        <w:t xml:space="preserve"> tego kryterium będą uwzględniane następujące przesłanki:</w:t>
      </w:r>
      <w:r w:rsidR="003E4EAE">
        <w:rPr>
          <w:bCs/>
        </w:rPr>
        <w:t xml:space="preserve"> </w:t>
      </w:r>
      <w:r w:rsidR="006872B5">
        <w:rPr>
          <w:bCs/>
        </w:rPr>
        <w:t xml:space="preserve">terminowość, jakość i efektywność oraz </w:t>
      </w:r>
      <w:r w:rsidR="003E4EAE">
        <w:rPr>
          <w:bCs/>
        </w:rPr>
        <w:t>stos</w:t>
      </w:r>
      <w:r w:rsidR="006872B5">
        <w:rPr>
          <w:bCs/>
        </w:rPr>
        <w:t>owana opisowa pięciopunktowa skala ocen</w:t>
      </w:r>
      <w:r w:rsidR="003E4EAE">
        <w:rPr>
          <w:bCs/>
        </w:rPr>
        <w:t>.</w:t>
      </w:r>
    </w:p>
    <w:p w:rsidR="009E7A5F" w:rsidRPr="009E7A5F" w:rsidRDefault="009E7A5F" w:rsidP="000E2C9E">
      <w:pPr>
        <w:spacing w:before="120" w:line="312" w:lineRule="auto"/>
        <w:jc w:val="both"/>
      </w:pPr>
      <w:r>
        <w:rPr>
          <w:bCs/>
        </w:rPr>
        <w:t xml:space="preserve">Wykaz kompetencji, jak i poziomy poszczególnych kompetencji określają załączniki do rozporządzenia. Natomiast </w:t>
      </w:r>
      <w:r>
        <w:t>w</w:t>
      </w:r>
      <w:r w:rsidRPr="007A54CF">
        <w:t>ymagany</w:t>
      </w:r>
      <w:r w:rsidRPr="002F7CD0">
        <w:t xml:space="preserve"> poziom kompetencji</w:t>
      </w:r>
      <w:r>
        <w:t xml:space="preserve"> </w:t>
      </w:r>
      <w:r w:rsidRPr="008B07DC">
        <w:t xml:space="preserve">dla </w:t>
      </w:r>
      <w:r>
        <w:t xml:space="preserve">danego </w:t>
      </w:r>
      <w:r w:rsidRPr="008B07DC">
        <w:t>stanowisk</w:t>
      </w:r>
      <w:r>
        <w:t>a</w:t>
      </w:r>
      <w:r w:rsidRPr="008B07DC">
        <w:t xml:space="preserve"> służbow</w:t>
      </w:r>
      <w:r>
        <w:t>ego</w:t>
      </w:r>
      <w:r w:rsidRPr="002F7CD0">
        <w:t xml:space="preserve"> </w:t>
      </w:r>
      <w:r>
        <w:t>ustali w każdym przypadku bezpośredni przełożony,</w:t>
      </w:r>
      <w:r w:rsidRPr="0024219A">
        <w:t xml:space="preserve"> </w:t>
      </w:r>
      <w:r>
        <w:t xml:space="preserve">biorąc pod uwagę zakres wykonywanych zadań oraz </w:t>
      </w:r>
      <w:smartTag w:uri="urn:schemas-microsoft-com:office:smarttags" w:element="PersonName">
        <w:r>
          <w:t>ic</w:t>
        </w:r>
      </w:smartTag>
      <w:r>
        <w:t>h stopień trudności i złożoności.</w:t>
      </w:r>
      <w:r w:rsidRPr="000C0759">
        <w:t xml:space="preserve"> </w:t>
      </w:r>
      <w:r>
        <w:t xml:space="preserve">Ocena kompetencji będzie obejmować </w:t>
      </w:r>
      <w:r w:rsidRPr="00512B4D">
        <w:t>maksymalnie</w:t>
      </w:r>
      <w:r>
        <w:t xml:space="preserve"> 4 kompetencje (w przypadku funkcjonariusza pełniącego służbę na stanowisku kierowniczym w jednostce organizacyjnej Krajowej Administracji Skarbowej - maksymalnie 6 kompetencji) wybrane</w:t>
      </w:r>
      <w:r w:rsidRPr="009C749F">
        <w:t xml:space="preserve"> przez bezpośredniego przełożonego</w:t>
      </w:r>
      <w:r w:rsidRPr="00512B4D">
        <w:t xml:space="preserve"> </w:t>
      </w:r>
      <w:r>
        <w:t>spośród kompetencj</w:t>
      </w:r>
      <w:r w:rsidR="00BE2380">
        <w:t>i wymienionych w załączniku nr 2</w:t>
      </w:r>
      <w:r>
        <w:t xml:space="preserve"> do rozporządzenia.</w:t>
      </w:r>
    </w:p>
    <w:p w:rsidR="009658F8" w:rsidRDefault="009658F8" w:rsidP="000E2C9E">
      <w:pPr>
        <w:spacing w:before="120" w:line="312" w:lineRule="auto"/>
        <w:jc w:val="both"/>
        <w:rPr>
          <w:bCs/>
        </w:rPr>
      </w:pPr>
      <w:r>
        <w:rPr>
          <w:bCs/>
        </w:rPr>
        <w:t>Zgodnie z projektem sporządzenie oceny okresowej składa się z następujących etapów:</w:t>
      </w:r>
    </w:p>
    <w:p w:rsidR="009658F8" w:rsidRDefault="009658F8" w:rsidP="009658F8">
      <w:pPr>
        <w:spacing w:line="312" w:lineRule="auto"/>
        <w:jc w:val="both"/>
        <w:rPr>
          <w:bCs/>
        </w:rPr>
      </w:pPr>
      <w:r>
        <w:rPr>
          <w:bCs/>
        </w:rPr>
        <w:t>1) wskazania zadań podlegających ocenie okresowej;</w:t>
      </w:r>
    </w:p>
    <w:p w:rsidR="009658F8" w:rsidRDefault="005D63D5" w:rsidP="009658F8">
      <w:pPr>
        <w:spacing w:line="312" w:lineRule="auto"/>
        <w:jc w:val="both"/>
        <w:rPr>
          <w:bCs/>
        </w:rPr>
      </w:pPr>
      <w:r>
        <w:rPr>
          <w:bCs/>
        </w:rPr>
        <w:t>2) przyznania</w:t>
      </w:r>
      <w:r w:rsidR="009658F8">
        <w:rPr>
          <w:bCs/>
        </w:rPr>
        <w:t xml:space="preserve"> ocen cząstkowych za każde zadanie według </w:t>
      </w:r>
      <w:r w:rsidR="009E7A5F">
        <w:rPr>
          <w:bCs/>
        </w:rPr>
        <w:t xml:space="preserve">opisowej </w:t>
      </w:r>
      <w:r w:rsidR="009658F8">
        <w:rPr>
          <w:bCs/>
        </w:rPr>
        <w:t xml:space="preserve">skali ocen, odpowiednio do poziomu </w:t>
      </w:r>
      <w:r w:rsidR="009E7A5F">
        <w:rPr>
          <w:bCs/>
        </w:rPr>
        <w:t xml:space="preserve">spełniania przez funkcjonariusza przesłanek: </w:t>
      </w:r>
      <w:r w:rsidR="009658F8">
        <w:rPr>
          <w:bCs/>
        </w:rPr>
        <w:t>terminowości, jakości i efektywności;</w:t>
      </w:r>
    </w:p>
    <w:p w:rsidR="009658F8" w:rsidRDefault="009658F8" w:rsidP="009658F8">
      <w:pPr>
        <w:spacing w:line="312" w:lineRule="auto"/>
        <w:jc w:val="both"/>
        <w:rPr>
          <w:bCs/>
        </w:rPr>
      </w:pPr>
      <w:r>
        <w:rPr>
          <w:bCs/>
        </w:rPr>
        <w:lastRenderedPageBreak/>
        <w:t>3) u</w:t>
      </w:r>
      <w:r w:rsidR="005D63D5">
        <w:rPr>
          <w:bCs/>
        </w:rPr>
        <w:t>stalenia</w:t>
      </w:r>
      <w:r>
        <w:rPr>
          <w:bCs/>
        </w:rPr>
        <w:t xml:space="preserve"> ogólnego poziomu realizacji zadań na stanowisku służbowym  poprzez wyliczenie średniej arytmetycznej z ocen cząstkowych według określonej w proj</w:t>
      </w:r>
      <w:r w:rsidR="000C0759">
        <w:rPr>
          <w:bCs/>
        </w:rPr>
        <w:t>ekcie rozporządzenia skali ocen;</w:t>
      </w:r>
    </w:p>
    <w:p w:rsidR="000C0759" w:rsidRDefault="005D63D5" w:rsidP="009658F8">
      <w:pPr>
        <w:spacing w:line="312" w:lineRule="auto"/>
        <w:jc w:val="both"/>
        <w:rPr>
          <w:bCs/>
        </w:rPr>
      </w:pPr>
      <w:r>
        <w:rPr>
          <w:bCs/>
        </w:rPr>
        <w:t xml:space="preserve">4) </w:t>
      </w:r>
      <w:r w:rsidR="009E7A5F">
        <w:rPr>
          <w:bCs/>
        </w:rPr>
        <w:t>ustalenia poziomu posiadanych przez funkcjonariusza</w:t>
      </w:r>
      <w:r w:rsidR="000C0759">
        <w:rPr>
          <w:bCs/>
        </w:rPr>
        <w:t xml:space="preserve"> kompetencji</w:t>
      </w:r>
      <w:r w:rsidR="009E7A5F">
        <w:rPr>
          <w:bCs/>
        </w:rPr>
        <w:t>, odrębnie za każdą kompetencję</w:t>
      </w:r>
      <w:r w:rsidR="000C0759">
        <w:rPr>
          <w:bCs/>
        </w:rPr>
        <w:t>,</w:t>
      </w:r>
    </w:p>
    <w:p w:rsidR="000C0759" w:rsidRDefault="000C0759" w:rsidP="009658F8">
      <w:pPr>
        <w:spacing w:line="312" w:lineRule="auto"/>
        <w:jc w:val="both"/>
        <w:rPr>
          <w:bCs/>
        </w:rPr>
      </w:pPr>
      <w:r>
        <w:rPr>
          <w:bCs/>
        </w:rPr>
        <w:t xml:space="preserve">5) </w:t>
      </w:r>
      <w:r w:rsidR="005D63D5">
        <w:rPr>
          <w:bCs/>
        </w:rPr>
        <w:t>ustalenia</w:t>
      </w:r>
      <w:r>
        <w:rPr>
          <w:bCs/>
        </w:rPr>
        <w:t xml:space="preserve"> poziomu zgodności posiadanych przez funkcjonariusza kompetencji z wymaganym poziomem kompetencji dla danego stanowiska służbowego;</w:t>
      </w:r>
    </w:p>
    <w:p w:rsidR="009E7A5F" w:rsidRDefault="009E7A5F" w:rsidP="009E7A5F">
      <w:pPr>
        <w:spacing w:line="312" w:lineRule="auto"/>
        <w:jc w:val="both"/>
        <w:rPr>
          <w:bCs/>
        </w:rPr>
      </w:pPr>
      <w:r>
        <w:rPr>
          <w:bCs/>
        </w:rPr>
        <w:t xml:space="preserve">6) </w:t>
      </w:r>
      <w:r>
        <w:t xml:space="preserve">wskazania </w:t>
      </w:r>
      <w:r w:rsidRPr="006B3350">
        <w:t>propozycji dotyczących rozwoju zawodowego funkcjonariusza</w:t>
      </w:r>
      <w:r>
        <w:t>;</w:t>
      </w:r>
    </w:p>
    <w:p w:rsidR="00C7034D" w:rsidRDefault="009E7A5F" w:rsidP="009E7A5F">
      <w:pPr>
        <w:spacing w:line="312" w:lineRule="auto"/>
        <w:jc w:val="both"/>
        <w:rPr>
          <w:bCs/>
        </w:rPr>
      </w:pPr>
      <w:r>
        <w:rPr>
          <w:bCs/>
        </w:rPr>
        <w:t xml:space="preserve">7) </w:t>
      </w:r>
      <w:r w:rsidR="005D63D5">
        <w:rPr>
          <w:bCs/>
        </w:rPr>
        <w:t>przyznania</w:t>
      </w:r>
      <w:r w:rsidR="000C0759">
        <w:rPr>
          <w:bCs/>
        </w:rPr>
        <w:t xml:space="preserve"> oceny końcowej pozytywnej albo negatywnej.</w:t>
      </w:r>
    </w:p>
    <w:p w:rsidR="00CB1F9F" w:rsidRDefault="00C7034D" w:rsidP="000E2C9E">
      <w:pPr>
        <w:spacing w:before="120" w:line="312" w:lineRule="auto"/>
        <w:jc w:val="both"/>
        <w:rPr>
          <w:bCs/>
        </w:rPr>
      </w:pPr>
      <w:r>
        <w:rPr>
          <w:bCs/>
        </w:rPr>
        <w:t>Projekt określa też tryb przeprowadzenia oceny okresowej oraz wydawania opinii służbowych, oraz tryb rozpatrywania środków odwoławczych od ocen i opinii, jak również wzór kwestionariusza oceny okresowej i opinii służbowej.</w:t>
      </w:r>
    </w:p>
    <w:p w:rsidR="00FD0378" w:rsidRPr="000C0759" w:rsidRDefault="00FD0378" w:rsidP="000E2C9E">
      <w:pPr>
        <w:spacing w:before="120" w:line="312" w:lineRule="auto"/>
        <w:jc w:val="both"/>
        <w:rPr>
          <w:bCs/>
        </w:rPr>
      </w:pPr>
      <w:r>
        <w:rPr>
          <w:bCs/>
        </w:rPr>
        <w:t xml:space="preserve">Projektowane rozwiązania częściowo powielają regulacje zawarte w rozporządzeniu Ministra Finansów z dnia 15 maja 2014 r. w sprawie ocen okresowych i opinii służbowych funkcjonariuszy Służby Celno-Skarbowej (Dz. U. z 2016 r. poz. 1017 oraz z 2017 r. poz. 731), które były stosowane wobec funkcjonariuszy celnych, a obecnie mają zastosowanie do funkcjonariuszy Służby Celno-Skarbowej. Dotyczy to </w:t>
      </w:r>
      <w:r w:rsidR="0057481C">
        <w:rPr>
          <w:bCs/>
        </w:rPr>
        <w:t xml:space="preserve">m.in. </w:t>
      </w:r>
      <w:r>
        <w:rPr>
          <w:bCs/>
        </w:rPr>
        <w:t>trybu przeprowadzenia oceny okresowej oraz wydawania opinii służbowych, oraz trybu rozpatrywania środków odwoławczych od ocen i opinii</w:t>
      </w:r>
      <w:r w:rsidR="00052487">
        <w:rPr>
          <w:bCs/>
        </w:rPr>
        <w:t xml:space="preserve">. </w:t>
      </w:r>
      <w:r w:rsidR="00052487">
        <w:t>Rozwiązania te funkcjonowały i sprawdziły się w stosunku do funkcjonariuszy celnych, zasadne było zatem wykorzystanie ich na gruncie</w:t>
      </w:r>
      <w:r w:rsidR="00D333EB">
        <w:t xml:space="preserve"> projektowanego rozporządzenia.</w:t>
      </w:r>
    </w:p>
    <w:p w:rsidR="00B42A56" w:rsidRDefault="00B42A56" w:rsidP="000E2C9E">
      <w:pPr>
        <w:pStyle w:val="Textbody"/>
        <w:spacing w:before="120" w:after="0" w:line="312" w:lineRule="auto"/>
        <w:jc w:val="both"/>
      </w:pPr>
      <w:r>
        <w:t>Zakres projektu rozporządzenia nie jest objęty prawem Unii Europejskiej. Projekt nie wymaga zasięgnięcia opinii, dokonania konsultacji oraz uzgodnienia  z właściwymi organami i instytucjami Unii Europejskiej, w tym z Europejskim Bankiem Centralnym.</w:t>
      </w:r>
    </w:p>
    <w:p w:rsidR="00B42A56" w:rsidRDefault="00B42A56" w:rsidP="000E2C9E">
      <w:pPr>
        <w:pStyle w:val="Textbody"/>
        <w:spacing w:before="120" w:after="0" w:line="312" w:lineRule="auto"/>
        <w:jc w:val="both"/>
      </w:pPr>
      <w:r>
        <w:t xml:space="preserve">Projektowane rozporządzenie nie podlega procedurze notyfikacji w rozumieniu przepisów rozporządzenia Rady Ministrów z dnia 23 grudnia 2002 r. w sprawie sposobu funkcjonowania krajowego systemu notyfikacji norm i aktów prawnych </w:t>
      </w:r>
      <w:r w:rsidRPr="00AF7F0E">
        <w:t xml:space="preserve">(Dz. U. </w:t>
      </w:r>
      <w:r>
        <w:t>z 2016 r.</w:t>
      </w:r>
      <w:r w:rsidRPr="00AF7F0E">
        <w:t xml:space="preserve"> poz.</w:t>
      </w:r>
      <w:r>
        <w:t xml:space="preserve"> 2039</w:t>
      </w:r>
      <w:r w:rsidRPr="00AF7F0E">
        <w:t>, z późn. zm.).</w:t>
      </w:r>
    </w:p>
    <w:p w:rsidR="00B42A56" w:rsidRPr="008224EC" w:rsidRDefault="00B42A56" w:rsidP="000E2C9E">
      <w:pPr>
        <w:pStyle w:val="Textbody"/>
        <w:spacing w:before="120" w:after="0" w:line="312" w:lineRule="auto"/>
        <w:jc w:val="both"/>
      </w:pPr>
      <w:r>
        <w:t xml:space="preserve">Stosownie do art. 5 ustawy z dnia 7 lipca 2005 r. o działalności lobbingowej </w:t>
      </w:r>
      <w:r>
        <w:br/>
        <w:t>w procesie stanowienia prawa (Dz. U.</w:t>
      </w:r>
      <w:r w:rsidR="00CB1F9F" w:rsidRPr="00CB1F9F">
        <w:t xml:space="preserve"> </w:t>
      </w:r>
      <w:r w:rsidR="00CB1F9F">
        <w:t>z 2017 r. poz. 248</w:t>
      </w:r>
      <w:r>
        <w:t xml:space="preserve">) oraz § 52 ust. 1 uchwały </w:t>
      </w:r>
      <w:r w:rsidR="00362739">
        <w:t xml:space="preserve">nr 190 Rady Ministrów z dnia 29 </w:t>
      </w:r>
      <w:r>
        <w:t>października 2013 r. – Regulamin pracy Rady Ministrów (M.P. z 2016 r</w:t>
      </w:r>
      <w:r w:rsidRPr="00403F61">
        <w:t>. poz. 1006</w:t>
      </w:r>
      <w:r w:rsidRPr="005473DD">
        <w:t>, z późn. zm.</w:t>
      </w:r>
      <w:r w:rsidRPr="00403F61">
        <w:t>), projekt rozporządzenia</w:t>
      </w:r>
      <w:r>
        <w:t xml:space="preserve"> zosta</w:t>
      </w:r>
      <w:r w:rsidR="00C74FE0">
        <w:t>nie</w:t>
      </w:r>
      <w:r>
        <w:t xml:space="preserve"> udostępniony w Biuletynie Informacji Publicznej na stronie podmiotowej Rządowego Centrum Legislacji (</w:t>
      </w:r>
      <w:hyperlink r:id="rId6" w:history="1">
        <w:r w:rsidRPr="00CB1F9F">
          <w:rPr>
            <w:rStyle w:val="Hipercze"/>
            <w:color w:val="auto"/>
          </w:rPr>
          <w:t>www.rcl.gov.pl</w:t>
        </w:r>
      </w:hyperlink>
      <w:r w:rsidRPr="00CB1F9F">
        <w:t xml:space="preserve">) </w:t>
      </w:r>
      <w:r>
        <w:t>z chwilą przekazania go do uzgodnień z członkami Rady Ministrów.</w:t>
      </w:r>
    </w:p>
    <w:p w:rsidR="00CB1F9F" w:rsidRPr="009658F8" w:rsidRDefault="009658F8" w:rsidP="00B42A56">
      <w:pPr>
        <w:pStyle w:val="Tekstpodstawowy"/>
        <w:rPr>
          <w:rStyle w:val="Hipercze"/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sz w:val="20"/>
          <w:u w:val="single"/>
        </w:rPr>
        <w:t>Opracowała</w:t>
      </w:r>
      <w:r w:rsidR="00B42A56" w:rsidRPr="00384FF2">
        <w:rPr>
          <w:rFonts w:ascii="Times New Roman" w:hAnsi="Times New Roman"/>
          <w:sz w:val="20"/>
          <w:u w:val="single"/>
        </w:rPr>
        <w:t>:</w:t>
      </w:r>
    </w:p>
    <w:p w:rsidR="00CB1F9F" w:rsidRPr="00872470" w:rsidRDefault="00CB1F9F" w:rsidP="00B42A56">
      <w:pPr>
        <w:pStyle w:val="Tekstpodstawowy"/>
        <w:rPr>
          <w:rStyle w:val="Hipercze"/>
          <w:rFonts w:ascii="Times New Roman" w:hAnsi="Times New Roman"/>
          <w:color w:val="auto"/>
          <w:sz w:val="20"/>
          <w:u w:val="none"/>
        </w:rPr>
      </w:pPr>
      <w:r w:rsidRPr="00872470">
        <w:rPr>
          <w:rStyle w:val="Hipercze"/>
          <w:rFonts w:ascii="Times New Roman" w:hAnsi="Times New Roman"/>
          <w:color w:val="auto"/>
          <w:sz w:val="20"/>
          <w:u w:val="none"/>
        </w:rPr>
        <w:t>Bogumiła Jatkowska</w:t>
      </w:r>
    </w:p>
    <w:p w:rsidR="00AE43C8" w:rsidRPr="00872470" w:rsidRDefault="00CB1F9F" w:rsidP="00B42A56">
      <w:pPr>
        <w:pStyle w:val="Tekstpodstawowy"/>
        <w:rPr>
          <w:rFonts w:ascii="Times New Roman" w:hAnsi="Times New Roman"/>
          <w:sz w:val="20"/>
        </w:rPr>
      </w:pPr>
      <w:r w:rsidRPr="00872470">
        <w:rPr>
          <w:rStyle w:val="Hipercze"/>
          <w:rFonts w:ascii="Times New Roman" w:hAnsi="Times New Roman"/>
          <w:color w:val="auto"/>
          <w:sz w:val="20"/>
          <w:u w:val="none"/>
        </w:rPr>
        <w:t>tel. 22 694-54-70</w:t>
      </w:r>
      <w:r w:rsidR="003B6BAD" w:rsidRPr="00872470">
        <w:rPr>
          <w:rStyle w:val="Hipercze"/>
          <w:rFonts w:ascii="Times New Roman" w:hAnsi="Times New Roman"/>
          <w:color w:val="auto"/>
          <w:sz w:val="20"/>
          <w:u w:val="none"/>
        </w:rPr>
        <w:t xml:space="preserve"> </w:t>
      </w:r>
      <w:r w:rsidRPr="00872470">
        <w:rPr>
          <w:rStyle w:val="Hipercze"/>
          <w:rFonts w:ascii="Times New Roman" w:hAnsi="Times New Roman"/>
          <w:color w:val="auto"/>
          <w:sz w:val="20"/>
          <w:u w:val="none"/>
        </w:rPr>
        <w:t>e-mail: bogumila.jatkowska@mf.gov.pl</w:t>
      </w:r>
      <w:hyperlink r:id="rId7" w:history="1"/>
    </w:p>
    <w:sectPr w:rsidR="00AE43C8" w:rsidRPr="00872470" w:rsidSect="00082FD3">
      <w:footerReference w:type="even" r:id="rId8"/>
      <w:footerReference w:type="default" r:id="rId9"/>
      <w:pgSz w:w="11906" w:h="16838" w:code="9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98D" w:rsidRDefault="000A398D">
      <w:r>
        <w:separator/>
      </w:r>
    </w:p>
  </w:endnote>
  <w:endnote w:type="continuationSeparator" w:id="0">
    <w:p w:rsidR="000A398D" w:rsidRDefault="000A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D3" w:rsidRDefault="00B42A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2FD3" w:rsidRDefault="00082FD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D3" w:rsidRDefault="00B42A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40A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82FD3" w:rsidRDefault="00082F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98D" w:rsidRDefault="000A398D">
      <w:r>
        <w:separator/>
      </w:r>
    </w:p>
  </w:footnote>
  <w:footnote w:type="continuationSeparator" w:id="0">
    <w:p w:rsidR="000A398D" w:rsidRDefault="000A3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56"/>
    <w:rsid w:val="000031C0"/>
    <w:rsid w:val="000174FA"/>
    <w:rsid w:val="00052487"/>
    <w:rsid w:val="0007347B"/>
    <w:rsid w:val="00082FD3"/>
    <w:rsid w:val="00090625"/>
    <w:rsid w:val="000A398D"/>
    <w:rsid w:val="000B2821"/>
    <w:rsid w:val="000C0759"/>
    <w:rsid w:val="000D2C0F"/>
    <w:rsid w:val="000D620B"/>
    <w:rsid w:val="000E2C9E"/>
    <w:rsid w:val="0011692E"/>
    <w:rsid w:val="00152EF7"/>
    <w:rsid w:val="001A7067"/>
    <w:rsid w:val="001F3B73"/>
    <w:rsid w:val="00250E87"/>
    <w:rsid w:val="00257A6D"/>
    <w:rsid w:val="002D42DD"/>
    <w:rsid w:val="002D47CD"/>
    <w:rsid w:val="002D7759"/>
    <w:rsid w:val="002E6894"/>
    <w:rsid w:val="00301883"/>
    <w:rsid w:val="00362739"/>
    <w:rsid w:val="00370748"/>
    <w:rsid w:val="003732D5"/>
    <w:rsid w:val="003B6BAD"/>
    <w:rsid w:val="003E4EAE"/>
    <w:rsid w:val="003F6A3F"/>
    <w:rsid w:val="00423884"/>
    <w:rsid w:val="00437105"/>
    <w:rsid w:val="004E34A3"/>
    <w:rsid w:val="0057481C"/>
    <w:rsid w:val="005C622A"/>
    <w:rsid w:val="005D3241"/>
    <w:rsid w:val="005D63D5"/>
    <w:rsid w:val="00603B69"/>
    <w:rsid w:val="00624B5F"/>
    <w:rsid w:val="0065553B"/>
    <w:rsid w:val="00667D6D"/>
    <w:rsid w:val="006872B5"/>
    <w:rsid w:val="006A2073"/>
    <w:rsid w:val="0072078E"/>
    <w:rsid w:val="007D35FA"/>
    <w:rsid w:val="008526C8"/>
    <w:rsid w:val="00872470"/>
    <w:rsid w:val="008A52CF"/>
    <w:rsid w:val="008E015E"/>
    <w:rsid w:val="00902E77"/>
    <w:rsid w:val="00905DF6"/>
    <w:rsid w:val="00906219"/>
    <w:rsid w:val="009658F8"/>
    <w:rsid w:val="009C0DAF"/>
    <w:rsid w:val="009E7A5F"/>
    <w:rsid w:val="00A03DCA"/>
    <w:rsid w:val="00A36BBF"/>
    <w:rsid w:val="00A4282B"/>
    <w:rsid w:val="00A94BDC"/>
    <w:rsid w:val="00AE43C8"/>
    <w:rsid w:val="00B14E49"/>
    <w:rsid w:val="00B42A56"/>
    <w:rsid w:val="00B47198"/>
    <w:rsid w:val="00B52BF0"/>
    <w:rsid w:val="00BA393A"/>
    <w:rsid w:val="00BE2380"/>
    <w:rsid w:val="00BE7338"/>
    <w:rsid w:val="00BF1665"/>
    <w:rsid w:val="00C5132A"/>
    <w:rsid w:val="00C6467D"/>
    <w:rsid w:val="00C7034D"/>
    <w:rsid w:val="00C74FE0"/>
    <w:rsid w:val="00C75393"/>
    <w:rsid w:val="00CB1F9F"/>
    <w:rsid w:val="00CD0077"/>
    <w:rsid w:val="00CF276A"/>
    <w:rsid w:val="00D333EB"/>
    <w:rsid w:val="00DF113F"/>
    <w:rsid w:val="00ED070F"/>
    <w:rsid w:val="00F138AC"/>
    <w:rsid w:val="00F562EE"/>
    <w:rsid w:val="00F66E2C"/>
    <w:rsid w:val="00F963CB"/>
    <w:rsid w:val="00FB40AA"/>
    <w:rsid w:val="00FB7F28"/>
    <w:rsid w:val="00FC6D5D"/>
    <w:rsid w:val="00FD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DB65E8B-839E-423D-9C2E-3B0CF337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42A56"/>
    <w:pPr>
      <w:overflowPunct w:val="0"/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42A56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B42A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42A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42A56"/>
  </w:style>
  <w:style w:type="character" w:styleId="Hipercze">
    <w:name w:val="Hyperlink"/>
    <w:rsid w:val="00B42A56"/>
    <w:rPr>
      <w:color w:val="0000FF"/>
      <w:u w:val="single"/>
    </w:rPr>
  </w:style>
  <w:style w:type="paragraph" w:customStyle="1" w:styleId="USTustnpkodeksu">
    <w:name w:val="UST(§) – ust. (§ np. kodeksu)"/>
    <w:basedOn w:val="Normalny"/>
    <w:qFormat/>
    <w:rsid w:val="00B42A56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paragraph" w:customStyle="1" w:styleId="Textbody">
    <w:name w:val="Text body"/>
    <w:basedOn w:val="Normalny"/>
    <w:rsid w:val="00B42A56"/>
    <w:pPr>
      <w:widowControl w:val="0"/>
      <w:suppressAutoHyphens/>
      <w:autoSpaceDN w:val="0"/>
      <w:spacing w:after="120"/>
    </w:pPr>
    <w:rPr>
      <w:rFonts w:eastAsia="SimSun" w:cs="Arial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E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EA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nna.jedruszczak@mf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cl.gov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Walendziak Ewa</dc:creator>
  <cp:keywords/>
  <dc:description/>
  <cp:lastModifiedBy>Jatkowska Bogumiła</cp:lastModifiedBy>
  <cp:revision>2</cp:revision>
  <dcterms:created xsi:type="dcterms:W3CDTF">2018-01-31T08:53:00Z</dcterms:created>
  <dcterms:modified xsi:type="dcterms:W3CDTF">2018-01-31T08:53:00Z</dcterms:modified>
</cp:coreProperties>
</file>